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92" w:rsidRPr="008D3A9B" w:rsidRDefault="00A47B92" w:rsidP="00A47B92">
      <w:pPr>
        <w:tabs>
          <w:tab w:val="left" w:pos="3045"/>
        </w:tabs>
        <w:jc w:val="center"/>
        <w:rPr>
          <w:b/>
          <w:sz w:val="32"/>
          <w:szCs w:val="32"/>
        </w:rPr>
      </w:pPr>
      <w:r w:rsidRPr="008D3A9B">
        <w:rPr>
          <w:b/>
          <w:color w:val="000000"/>
          <w:sz w:val="32"/>
          <w:szCs w:val="32"/>
        </w:rPr>
        <w:t>The Purification of Mitotic Phosphatase Protein Cdc14p</w:t>
      </w:r>
    </w:p>
    <w:p w:rsidR="00A47B92" w:rsidRDefault="00A47B92" w:rsidP="00A47B92">
      <w:pPr>
        <w:jc w:val="center"/>
        <w:rPr>
          <w:b/>
          <w:sz w:val="32"/>
          <w:szCs w:val="32"/>
        </w:rPr>
      </w:pPr>
    </w:p>
    <w:p w:rsidR="00A47B92" w:rsidRDefault="00A47B92" w:rsidP="00A47B92">
      <w:pPr>
        <w:jc w:val="center"/>
        <w:rPr>
          <w:b/>
          <w:sz w:val="32"/>
          <w:szCs w:val="32"/>
        </w:rPr>
      </w:pPr>
    </w:p>
    <w:p w:rsidR="00A47B92" w:rsidRDefault="00A47B92" w:rsidP="00A47B92">
      <w:pPr>
        <w:jc w:val="center"/>
        <w:rPr>
          <w:b/>
          <w:sz w:val="32"/>
          <w:szCs w:val="32"/>
        </w:rPr>
      </w:pPr>
    </w:p>
    <w:p w:rsidR="00A47B92" w:rsidRDefault="00A47B92" w:rsidP="00A47B92">
      <w:pPr>
        <w:jc w:val="center"/>
        <w:rPr>
          <w:b/>
          <w:sz w:val="32"/>
          <w:szCs w:val="32"/>
        </w:rPr>
      </w:pPr>
    </w:p>
    <w:p w:rsidR="00A47B92" w:rsidRDefault="00A47B92" w:rsidP="00A47B92">
      <w:pPr>
        <w:jc w:val="center"/>
        <w:rPr>
          <w:b/>
          <w:sz w:val="32"/>
          <w:szCs w:val="32"/>
        </w:rPr>
      </w:pPr>
    </w:p>
    <w:p w:rsidR="00A47B92" w:rsidRDefault="00A47B92" w:rsidP="00A47B92">
      <w:pPr>
        <w:jc w:val="center"/>
      </w:pPr>
      <w:r>
        <w:t>Undergraduate Capstone Research Report</w:t>
      </w:r>
    </w:p>
    <w:p w:rsidR="00A47B92" w:rsidRDefault="00A47B92" w:rsidP="00A47B92">
      <w:pPr>
        <w:jc w:val="center"/>
      </w:pPr>
    </w:p>
    <w:p w:rsidR="00A47B92" w:rsidRDefault="00A47B92" w:rsidP="00A47B92">
      <w:pPr>
        <w:jc w:val="center"/>
      </w:pPr>
      <w:r>
        <w:t>By</w:t>
      </w:r>
    </w:p>
    <w:p w:rsidR="00A47B92" w:rsidRDefault="00A47B92" w:rsidP="00A47B92">
      <w:pPr>
        <w:jc w:val="center"/>
      </w:pPr>
    </w:p>
    <w:p w:rsidR="00A47B92" w:rsidRDefault="00A47B92" w:rsidP="00A47B92">
      <w:pPr>
        <w:jc w:val="center"/>
        <w:rPr>
          <w:b/>
        </w:rPr>
      </w:pPr>
      <w:r>
        <w:rPr>
          <w:b/>
        </w:rPr>
        <w:t>Emily Torres</w:t>
      </w:r>
    </w:p>
    <w:p w:rsidR="00A47B92" w:rsidRDefault="00A47B92" w:rsidP="00A47B92">
      <w:pPr>
        <w:jc w:val="center"/>
        <w:rPr>
          <w:b/>
        </w:rPr>
      </w:pPr>
    </w:p>
    <w:p w:rsidR="00A47B92" w:rsidRDefault="00A47B92" w:rsidP="00A47B92">
      <w:pPr>
        <w:jc w:val="center"/>
        <w:rPr>
          <w:b/>
        </w:rPr>
      </w:pPr>
    </w:p>
    <w:p w:rsidR="00A47B92" w:rsidRDefault="00A47B92" w:rsidP="00A47B92">
      <w:pPr>
        <w:jc w:val="center"/>
        <w:rPr>
          <w:b/>
        </w:rPr>
      </w:pPr>
    </w:p>
    <w:p w:rsidR="00A47B92" w:rsidRDefault="00A47B92" w:rsidP="00A47B92">
      <w:pPr>
        <w:jc w:val="center"/>
        <w:rPr>
          <w:b/>
        </w:rPr>
      </w:pPr>
    </w:p>
    <w:p w:rsidR="00A47B92" w:rsidRDefault="00A47B92" w:rsidP="00A47B92">
      <w:pPr>
        <w:jc w:val="center"/>
        <w:rPr>
          <w:b/>
        </w:rPr>
      </w:pPr>
    </w:p>
    <w:p w:rsidR="00A47B92" w:rsidRDefault="00A47B92" w:rsidP="00A47B92">
      <w:pPr>
        <w:jc w:val="center"/>
        <w:rPr>
          <w:b/>
        </w:rPr>
      </w:pPr>
    </w:p>
    <w:p w:rsidR="00A47B92" w:rsidRDefault="00A47B92" w:rsidP="00A47B92">
      <w:pPr>
        <w:jc w:val="center"/>
        <w:rPr>
          <w:b/>
        </w:rPr>
      </w:pPr>
    </w:p>
    <w:p w:rsidR="00A47B92" w:rsidRDefault="00A47B92" w:rsidP="00A47B92">
      <w:pPr>
        <w:jc w:val="center"/>
        <w:rPr>
          <w:b/>
        </w:rPr>
      </w:pPr>
    </w:p>
    <w:p w:rsidR="00A47B92" w:rsidRDefault="00A47B92" w:rsidP="00A47B92">
      <w:pPr>
        <w:jc w:val="center"/>
        <w:rPr>
          <w:b/>
        </w:rPr>
      </w:pPr>
    </w:p>
    <w:p w:rsidR="00A47B92" w:rsidRDefault="00A47B92" w:rsidP="00A47B92">
      <w:pPr>
        <w:jc w:val="center"/>
        <w:rPr>
          <w:b/>
        </w:rPr>
      </w:pPr>
    </w:p>
    <w:p w:rsidR="00A47B92" w:rsidRDefault="00A47B92" w:rsidP="00A47B92">
      <w:pPr>
        <w:jc w:val="center"/>
      </w:pPr>
      <w:r w:rsidRPr="00981150">
        <w:t>Submitted to</w:t>
      </w:r>
      <w:r>
        <w:t xml:space="preserve"> the Chemistry Faculty at </w:t>
      </w:r>
    </w:p>
    <w:p w:rsidR="00A47B92" w:rsidRDefault="00A47B92" w:rsidP="00A47B92">
      <w:pPr>
        <w:jc w:val="center"/>
      </w:pPr>
    </w:p>
    <w:p w:rsidR="00A47B92" w:rsidRDefault="00A47B92" w:rsidP="00A47B92">
      <w:pPr>
        <w:jc w:val="center"/>
      </w:pPr>
      <w:r>
        <w:t>Emporia State University</w:t>
      </w:r>
    </w:p>
    <w:p w:rsidR="00A47B92" w:rsidRDefault="00A47B92" w:rsidP="00A47B92">
      <w:pPr>
        <w:jc w:val="center"/>
      </w:pPr>
    </w:p>
    <w:p w:rsidR="00A47B92" w:rsidRDefault="00A47B92" w:rsidP="00A47B92">
      <w:pPr>
        <w:jc w:val="center"/>
      </w:pPr>
      <w:r>
        <w:t>In Partial fulfillment of The Capstone Research requirements</w:t>
      </w:r>
    </w:p>
    <w:p w:rsidR="00A47B92" w:rsidRDefault="00A47B92" w:rsidP="00A47B92">
      <w:pPr>
        <w:jc w:val="center"/>
      </w:pPr>
    </w:p>
    <w:p w:rsidR="00A47B92" w:rsidRDefault="00A47B92" w:rsidP="00A47B92">
      <w:pPr>
        <w:jc w:val="center"/>
      </w:pPr>
    </w:p>
    <w:p w:rsidR="00A47B92" w:rsidRDefault="00A47B92" w:rsidP="00A47B92">
      <w:pPr>
        <w:jc w:val="center"/>
      </w:pPr>
    </w:p>
    <w:p w:rsidR="00A47B92" w:rsidRPr="00981150" w:rsidRDefault="00A47B92" w:rsidP="00A47B92">
      <w:pPr>
        <w:jc w:val="center"/>
        <w:rPr>
          <w:sz w:val="20"/>
          <w:szCs w:val="20"/>
        </w:rPr>
      </w:pPr>
      <w:r>
        <w:rPr>
          <w:sz w:val="20"/>
          <w:szCs w:val="20"/>
        </w:rPr>
        <w:t>May 7, 2010</w:t>
      </w:r>
    </w:p>
    <w:p w:rsidR="00A47B92" w:rsidRDefault="00A47B92">
      <w:pPr>
        <w:rPr>
          <w:b/>
        </w:rPr>
      </w:pPr>
      <w:r>
        <w:rPr>
          <w:b/>
        </w:rPr>
        <w:br w:type="page"/>
      </w:r>
    </w:p>
    <w:p w:rsidR="00021DB7" w:rsidRPr="00B862C2" w:rsidRDefault="00021DB7" w:rsidP="00DC1337">
      <w:pPr>
        <w:spacing w:line="480" w:lineRule="auto"/>
        <w:jc w:val="both"/>
        <w:rPr>
          <w:b/>
        </w:rPr>
      </w:pPr>
      <w:r w:rsidRPr="00B862C2">
        <w:rPr>
          <w:b/>
        </w:rPr>
        <w:lastRenderedPageBreak/>
        <w:t xml:space="preserve">Two methods were employed to </w:t>
      </w:r>
      <w:r w:rsidR="002560D1">
        <w:rPr>
          <w:b/>
        </w:rPr>
        <w:t>achieve</w:t>
      </w:r>
      <w:r w:rsidRPr="00B862C2">
        <w:rPr>
          <w:b/>
        </w:rPr>
        <w:t xml:space="preserve"> soluble expression of Cdc14p. The first being the retrieval of CDC14 from a pET28 expression plasmid a</w:t>
      </w:r>
      <w:r w:rsidR="00F82829">
        <w:rPr>
          <w:b/>
        </w:rPr>
        <w:t>nd insertion into a GST plasmid</w:t>
      </w:r>
      <w:r w:rsidRPr="00B862C2">
        <w:rPr>
          <w:b/>
        </w:rPr>
        <w:t xml:space="preserve"> by use of the restriction enzyme NdeI. Before this could occur, alteration of an internal NdeI recognition sequence was attempted via site-directed mutagenesis. </w:t>
      </w:r>
      <w:r w:rsidR="00F82829">
        <w:rPr>
          <w:b/>
        </w:rPr>
        <w:t>The second method</w:t>
      </w:r>
      <w:r w:rsidR="000E1647">
        <w:rPr>
          <w:b/>
        </w:rPr>
        <w:t xml:space="preserve"> being</w:t>
      </w:r>
      <w:r w:rsidR="00F82829">
        <w:rPr>
          <w:b/>
        </w:rPr>
        <w:t xml:space="preserve"> a process of e</w:t>
      </w:r>
      <w:r w:rsidRPr="00B862C2">
        <w:rPr>
          <w:b/>
        </w:rPr>
        <w:t xml:space="preserve">xposing cells containing pET28 to a solution </w:t>
      </w:r>
      <w:r w:rsidR="000B1744" w:rsidRPr="00B862C2">
        <w:rPr>
          <w:b/>
        </w:rPr>
        <w:t xml:space="preserve">10% sarkosyl or </w:t>
      </w:r>
      <w:r w:rsidR="000B1744" w:rsidRPr="00B862C2">
        <w:rPr>
          <w:b/>
          <w:iCs/>
        </w:rPr>
        <w:t>of 2% sarkosyl 2% triton X-100 and 20 mM CHAPS to disrupt any possible inclusion bodies of properly folded Cdc14p. Once soluble protein is extracted</w:t>
      </w:r>
      <w:r w:rsidR="00F82829">
        <w:rPr>
          <w:b/>
          <w:iCs/>
        </w:rPr>
        <w:t xml:space="preserve"> by either method,</w:t>
      </w:r>
      <w:r w:rsidR="000B1744" w:rsidRPr="00B862C2">
        <w:rPr>
          <w:b/>
          <w:iCs/>
        </w:rPr>
        <w:t xml:space="preserve"> two assays will be preformed to ensure enzymatic activity and specificity will be examined.</w:t>
      </w:r>
    </w:p>
    <w:p w:rsidR="00983405" w:rsidRDefault="003822EA" w:rsidP="00DC1337">
      <w:pPr>
        <w:spacing w:line="480" w:lineRule="auto"/>
        <w:jc w:val="both"/>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5pt;margin-top:6.15pt;width:475.75pt;height:.05pt;z-index:251672576" o:connectortype="straight" strokeweight="1.25pt"/>
        </w:pict>
      </w:r>
    </w:p>
    <w:p w:rsidR="00983405" w:rsidRDefault="00983405" w:rsidP="00DC1337">
      <w:pPr>
        <w:spacing w:line="480" w:lineRule="auto"/>
        <w:jc w:val="both"/>
      </w:pPr>
      <w:r>
        <w:rPr>
          <w:b/>
        </w:rPr>
        <w:t>Introduction</w:t>
      </w:r>
    </w:p>
    <w:p w:rsidR="00983405" w:rsidRPr="008E7102" w:rsidRDefault="00983405" w:rsidP="00DC1337">
      <w:pPr>
        <w:spacing w:line="480" w:lineRule="auto"/>
        <w:jc w:val="both"/>
        <w:rPr>
          <w:iCs/>
        </w:rPr>
      </w:pPr>
      <w:r>
        <w:t xml:space="preserve">The cell division cycle protein, Cdc14p is a phosphatase found in </w:t>
      </w:r>
      <w:r w:rsidRPr="00983405">
        <w:rPr>
          <w:i/>
          <w:iCs/>
        </w:rPr>
        <w:t>Saccharomyces cerevisiae</w:t>
      </w:r>
      <w:r>
        <w:rPr>
          <w:i/>
          <w:iCs/>
        </w:rPr>
        <w:t xml:space="preserve"> </w:t>
      </w:r>
      <w:r>
        <w:rPr>
          <w:iCs/>
        </w:rPr>
        <w:t>or budding yeast. It is a member of</w:t>
      </w:r>
      <w:r w:rsidR="002560D1">
        <w:rPr>
          <w:iCs/>
        </w:rPr>
        <w:t xml:space="preserve"> the tyrosine-phosphatase super</w:t>
      </w:r>
      <w:r>
        <w:rPr>
          <w:iCs/>
        </w:rPr>
        <w:t>family. Members of this family contain the high</w:t>
      </w:r>
      <w:r w:rsidR="002560D1">
        <w:rPr>
          <w:iCs/>
        </w:rPr>
        <w:t>ly</w:t>
      </w:r>
      <w:r>
        <w:rPr>
          <w:iCs/>
        </w:rPr>
        <w:t xml:space="preserve"> conserved amino acid sequence, </w:t>
      </w:r>
      <w:r w:rsidRPr="00983405">
        <w:rPr>
          <w:iCs/>
        </w:rPr>
        <w:t>HCXAGXXR(S/T)</w:t>
      </w:r>
      <w:r>
        <w:rPr>
          <w:iCs/>
        </w:rPr>
        <w:t>, in their active site. In this sequence, it is cystine</w:t>
      </w:r>
      <w:r>
        <w:rPr>
          <w:iCs/>
          <w:vertAlign w:val="superscript"/>
        </w:rPr>
        <w:t>283</w:t>
      </w:r>
      <w:r>
        <w:rPr>
          <w:iCs/>
        </w:rPr>
        <w:t xml:space="preserve"> that largely contr</w:t>
      </w:r>
      <w:r w:rsidR="008E7102">
        <w:rPr>
          <w:iCs/>
        </w:rPr>
        <w:t>ibutes to phosphatase activity.</w:t>
      </w:r>
      <w:r w:rsidR="008E7102">
        <w:rPr>
          <w:iCs/>
          <w:vertAlign w:val="superscript"/>
        </w:rPr>
        <w:t>1</w:t>
      </w:r>
    </w:p>
    <w:p w:rsidR="00983405" w:rsidRPr="008E7102" w:rsidRDefault="00983405" w:rsidP="00DC1337">
      <w:pPr>
        <w:spacing w:line="480" w:lineRule="auto"/>
        <w:ind w:firstLine="288"/>
        <w:jc w:val="both"/>
        <w:rPr>
          <w:iCs/>
          <w:vertAlign w:val="superscript"/>
        </w:rPr>
      </w:pPr>
      <w:r>
        <w:rPr>
          <w:iCs/>
        </w:rPr>
        <w:t>Throughout mitosis</w:t>
      </w:r>
      <w:r w:rsidR="00947201">
        <w:rPr>
          <w:iCs/>
        </w:rPr>
        <w:t>,</w:t>
      </w:r>
      <w:r>
        <w:rPr>
          <w:iCs/>
        </w:rPr>
        <w:t xml:space="preserve"> Cdc14p is contained in</w:t>
      </w:r>
      <w:r w:rsidR="00947201">
        <w:rPr>
          <w:iCs/>
        </w:rPr>
        <w:t xml:space="preserve"> </w:t>
      </w:r>
      <w:r>
        <w:rPr>
          <w:iCs/>
        </w:rPr>
        <w:t xml:space="preserve">the nucleolus. </w:t>
      </w:r>
      <w:r w:rsidR="000E1647">
        <w:rPr>
          <w:iCs/>
        </w:rPr>
        <w:t>During late anaphase, it is activated by Cdc5 and released.</w:t>
      </w:r>
      <w:r w:rsidR="000E1647">
        <w:rPr>
          <w:iCs/>
          <w:vertAlign w:val="superscript"/>
        </w:rPr>
        <w:t>1</w:t>
      </w:r>
    </w:p>
    <w:p w:rsidR="003428A4" w:rsidRPr="008E7102" w:rsidRDefault="003822EA" w:rsidP="00DC1337">
      <w:pPr>
        <w:spacing w:line="480" w:lineRule="auto"/>
        <w:ind w:firstLine="288"/>
        <w:mirrorIndents/>
        <w:jc w:val="both"/>
        <w:rPr>
          <w:iCs/>
          <w:vertAlign w:val="superscript"/>
        </w:rPr>
      </w:pPr>
      <w:r w:rsidRPr="003822EA">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5pt;margin-top:187.1pt;width:218.8pt;height:26.35pt;z-index:251660288;mso-height-percent:200;mso-height-percent:200;mso-width-relative:margin;mso-height-relative:margin" strokecolor="white [3212]">
            <v:textbox style="mso-next-textbox:#_x0000_s1026;mso-fit-shape-to-text:t">
              <w:txbxContent>
                <w:p w:rsidR="000A79A6" w:rsidRPr="000A79A6" w:rsidRDefault="000A79A6" w:rsidP="00F82829">
                  <w:pPr>
                    <w:jc w:val="both"/>
                    <w:rPr>
                      <w:sz w:val="16"/>
                      <w:szCs w:val="16"/>
                    </w:rPr>
                  </w:pPr>
                  <w:r w:rsidRPr="000A79A6">
                    <w:rPr>
                      <w:b/>
                      <w:sz w:val="16"/>
                      <w:szCs w:val="16"/>
                    </w:rPr>
                    <w:t>FIGURE1</w:t>
                  </w:r>
                  <w:r w:rsidRPr="000A79A6">
                    <w:rPr>
                      <w:sz w:val="16"/>
                      <w:szCs w:val="16"/>
                    </w:rPr>
                    <w:t xml:space="preserve">. Cell signal cascade that occurs upon activation of Cdc14p by Cdc5 </w:t>
                  </w:r>
                  <w:r w:rsidR="00F82829">
                    <w:rPr>
                      <w:sz w:val="16"/>
                      <w:szCs w:val="16"/>
                    </w:rPr>
                    <w:t>during</w:t>
                  </w:r>
                  <w:r w:rsidRPr="000A79A6">
                    <w:rPr>
                      <w:sz w:val="16"/>
                      <w:szCs w:val="16"/>
                    </w:rPr>
                    <w:t xml:space="preserve"> late anaphase.</w:t>
                  </w:r>
                </w:p>
              </w:txbxContent>
            </v:textbox>
            <w10:wrap type="square"/>
          </v:shape>
        </w:pict>
      </w:r>
      <w:r w:rsidR="003428A4">
        <w:rPr>
          <w:iCs/>
          <w:noProof/>
        </w:rPr>
        <w:drawing>
          <wp:anchor distT="0" distB="0" distL="114300" distR="114300" simplePos="0" relativeHeight="251659263" behindDoc="0" locked="0" layoutInCell="1" allowOverlap="1">
            <wp:simplePos x="0" y="0"/>
            <wp:positionH relativeFrom="column">
              <wp:posOffset>19050</wp:posOffset>
            </wp:positionH>
            <wp:positionV relativeFrom="paragraph">
              <wp:posOffset>17780</wp:posOffset>
            </wp:positionV>
            <wp:extent cx="2743200" cy="2244725"/>
            <wp:effectExtent l="19050" t="19050" r="19050" b="22225"/>
            <wp:wrapSquare wrapText="bothSides"/>
            <wp:docPr id="3" name="Picture 3" descr="Picture1.png"/>
            <wp:cNvGraphicFramePr/>
            <a:graphic xmlns:a="http://schemas.openxmlformats.org/drawingml/2006/main">
              <a:graphicData uri="http://schemas.openxmlformats.org/drawingml/2006/picture">
                <pic:pic xmlns:pic="http://schemas.openxmlformats.org/drawingml/2006/picture">
                  <pic:nvPicPr>
                    <pic:cNvPr id="4" name="Picture 3" descr="Picture1.png"/>
                    <pic:cNvPicPr>
                      <a:picLocks noChangeAspect="1"/>
                    </pic:cNvPicPr>
                  </pic:nvPicPr>
                  <pic:blipFill>
                    <a:blip r:embed="rId8" cstate="print"/>
                    <a:stretch>
                      <a:fillRect/>
                    </a:stretch>
                  </pic:blipFill>
                  <pic:spPr>
                    <a:xfrm>
                      <a:off x="0" y="0"/>
                      <a:ext cx="2743200" cy="2244725"/>
                    </a:xfrm>
                    <a:prstGeom prst="rect">
                      <a:avLst/>
                    </a:prstGeom>
                    <a:solidFill>
                      <a:schemeClr val="accent1">
                        <a:alpha val="12000"/>
                      </a:schemeClr>
                    </a:solidFill>
                    <a:ln>
                      <a:solidFill>
                        <a:schemeClr val="accent1"/>
                      </a:solidFill>
                    </a:ln>
                  </pic:spPr>
                </pic:pic>
              </a:graphicData>
            </a:graphic>
          </wp:anchor>
        </w:drawing>
      </w:r>
      <w:r w:rsidR="002560D1">
        <w:rPr>
          <w:iCs/>
        </w:rPr>
        <w:t>D</w:t>
      </w:r>
      <w:r w:rsidR="00F82829">
        <w:rPr>
          <w:iCs/>
        </w:rPr>
        <w:t>uring</w:t>
      </w:r>
      <w:r w:rsidR="003428A4">
        <w:rPr>
          <w:iCs/>
        </w:rPr>
        <w:t xml:space="preserve"> mitosis</w:t>
      </w:r>
      <w:r w:rsidR="00F82829">
        <w:rPr>
          <w:iCs/>
        </w:rPr>
        <w:t>,</w:t>
      </w:r>
      <w:r w:rsidR="003428A4">
        <w:rPr>
          <w:iCs/>
        </w:rPr>
        <w:t xml:space="preserve"> Clb-kinases are active, helping the cell </w:t>
      </w:r>
      <w:r w:rsidR="00F82829">
        <w:rPr>
          <w:iCs/>
        </w:rPr>
        <w:t xml:space="preserve">to </w:t>
      </w:r>
      <w:r w:rsidR="003428A4">
        <w:rPr>
          <w:iCs/>
        </w:rPr>
        <w:t>progress through the cycle. However</w:t>
      </w:r>
      <w:r w:rsidR="002560D1">
        <w:rPr>
          <w:iCs/>
        </w:rPr>
        <w:t>,</w:t>
      </w:r>
      <w:r w:rsidR="003428A4">
        <w:rPr>
          <w:iCs/>
        </w:rPr>
        <w:t xml:space="preserve"> during the G1 phase, these proteins are inactive. </w:t>
      </w:r>
      <w:r w:rsidR="00F82829">
        <w:rPr>
          <w:iCs/>
        </w:rPr>
        <w:t xml:space="preserve">It was found that </w:t>
      </w:r>
      <w:r w:rsidR="003428A4">
        <w:rPr>
          <w:iCs/>
        </w:rPr>
        <w:t>Cdc14p also activates the Anaphase Promoting Complex (APC)</w:t>
      </w:r>
      <w:r w:rsidR="002560D1">
        <w:rPr>
          <w:iCs/>
        </w:rPr>
        <w:t>.</w:t>
      </w:r>
      <w:r w:rsidR="003428A4">
        <w:rPr>
          <w:iCs/>
        </w:rPr>
        <w:t xml:space="preserve"> </w:t>
      </w:r>
      <w:r w:rsidR="002560D1">
        <w:rPr>
          <w:iCs/>
        </w:rPr>
        <w:t>T</w:t>
      </w:r>
      <w:r w:rsidR="003428A4">
        <w:rPr>
          <w:iCs/>
        </w:rPr>
        <w:t xml:space="preserve">his 11 subunit protein then goes on to degrade these </w:t>
      </w:r>
      <w:r w:rsidR="003428A4">
        <w:rPr>
          <w:iCs/>
        </w:rPr>
        <w:lastRenderedPageBreak/>
        <w:t>Clb-kinases. Therefore, the end result of Cdc14p activation is cytokenesis and the cell coming into the G1 phase.</w:t>
      </w:r>
      <w:r w:rsidR="008E7102">
        <w:rPr>
          <w:iCs/>
          <w:vertAlign w:val="superscript"/>
        </w:rPr>
        <w:t>3</w:t>
      </w:r>
    </w:p>
    <w:p w:rsidR="003428A4" w:rsidRDefault="003428A4" w:rsidP="00DC1337">
      <w:pPr>
        <w:spacing w:line="480" w:lineRule="auto"/>
        <w:jc w:val="both"/>
        <w:rPr>
          <w:iCs/>
        </w:rPr>
      </w:pPr>
    </w:p>
    <w:p w:rsidR="003428A4" w:rsidRDefault="003428A4" w:rsidP="00DC1337">
      <w:pPr>
        <w:spacing w:line="480" w:lineRule="auto"/>
        <w:jc w:val="both"/>
        <w:rPr>
          <w:iCs/>
        </w:rPr>
      </w:pPr>
      <w:r>
        <w:rPr>
          <w:i/>
          <w:iCs/>
        </w:rPr>
        <w:t>Importance</w:t>
      </w:r>
    </w:p>
    <w:p w:rsidR="003428A4" w:rsidRDefault="00D660FE" w:rsidP="00DC1337">
      <w:pPr>
        <w:spacing w:line="480" w:lineRule="auto"/>
        <w:jc w:val="both"/>
        <w:rPr>
          <w:iCs/>
        </w:rPr>
      </w:pPr>
      <w:r>
        <w:rPr>
          <w:iCs/>
        </w:rPr>
        <w:t>Through the creation o</w:t>
      </w:r>
      <w:r w:rsidR="00F82829">
        <w:rPr>
          <w:iCs/>
        </w:rPr>
        <w:t>f</w:t>
      </w:r>
      <w:r>
        <w:rPr>
          <w:iCs/>
        </w:rPr>
        <w:t xml:space="preserve"> cDNA libraries, two human homologues, hCdc14A and hCdc14B have been discovered.</w:t>
      </w:r>
      <w:r w:rsidR="008E7102">
        <w:rPr>
          <w:iCs/>
          <w:vertAlign w:val="superscript"/>
        </w:rPr>
        <w:t>2</w:t>
      </w:r>
      <w:r>
        <w:rPr>
          <w:iCs/>
        </w:rPr>
        <w:t xml:space="preserve"> In previous studies, researchers were able create mutant yeast cells deficient in Cdc14p activity. These cells would progress normally through the cell cycle, but would stop and die at late anaphase. Rescue of these cells was possible by addition of human Cdc14A. It was also found that </w:t>
      </w:r>
      <w:r w:rsidR="00F82829">
        <w:rPr>
          <w:iCs/>
        </w:rPr>
        <w:t xml:space="preserve">both of </w:t>
      </w:r>
      <w:r>
        <w:rPr>
          <w:iCs/>
        </w:rPr>
        <w:t xml:space="preserve">these </w:t>
      </w:r>
      <w:r w:rsidR="00F82829">
        <w:rPr>
          <w:iCs/>
        </w:rPr>
        <w:t>homologues</w:t>
      </w:r>
      <w:r>
        <w:rPr>
          <w:iCs/>
        </w:rPr>
        <w:t xml:space="preserve"> activate the APC.</w:t>
      </w:r>
      <w:r w:rsidR="008E7102">
        <w:rPr>
          <w:iCs/>
          <w:vertAlign w:val="superscript"/>
        </w:rPr>
        <w:t>4</w:t>
      </w:r>
      <w:r>
        <w:rPr>
          <w:iCs/>
        </w:rPr>
        <w:t xml:space="preserve"> </w:t>
      </w:r>
    </w:p>
    <w:p w:rsidR="00D660FE" w:rsidRDefault="00D660FE" w:rsidP="00DC1337">
      <w:pPr>
        <w:spacing w:line="480" w:lineRule="auto"/>
        <w:ind w:firstLine="288"/>
        <w:jc w:val="both"/>
        <w:rPr>
          <w:iCs/>
        </w:rPr>
      </w:pPr>
      <w:r>
        <w:rPr>
          <w:iCs/>
        </w:rPr>
        <w:t>Recent research ha</w:t>
      </w:r>
      <w:r w:rsidR="00F82829">
        <w:rPr>
          <w:iCs/>
        </w:rPr>
        <w:t>s also begun involving Cdc14 in</w:t>
      </w:r>
      <w:r>
        <w:rPr>
          <w:iCs/>
        </w:rPr>
        <w:t xml:space="preserve"> human cancer cells. Depending on the type of cancer</w:t>
      </w:r>
      <w:r w:rsidR="002560D1">
        <w:rPr>
          <w:iCs/>
        </w:rPr>
        <w:t>,</w:t>
      </w:r>
      <w:r>
        <w:rPr>
          <w:iCs/>
        </w:rPr>
        <w:t xml:space="preserve"> one </w:t>
      </w:r>
      <w:r w:rsidR="00F82829">
        <w:rPr>
          <w:iCs/>
        </w:rPr>
        <w:t xml:space="preserve">of two events has been </w:t>
      </w:r>
      <w:r w:rsidR="002560D1">
        <w:rPr>
          <w:iCs/>
        </w:rPr>
        <w:t>observed:</w:t>
      </w:r>
      <w:r w:rsidR="000E1647">
        <w:rPr>
          <w:iCs/>
        </w:rPr>
        <w:t xml:space="preserve"> either</w:t>
      </w:r>
      <w:r>
        <w:rPr>
          <w:iCs/>
        </w:rPr>
        <w:t xml:space="preserve"> the levels of Cdc14 are abnormally high or low or the gene encoding for Cdc14 is mutated.</w:t>
      </w:r>
      <w:r w:rsidR="008E7102">
        <w:rPr>
          <w:iCs/>
          <w:vertAlign w:val="superscript"/>
        </w:rPr>
        <w:t>2,4</w:t>
      </w:r>
      <w:r>
        <w:rPr>
          <w:iCs/>
        </w:rPr>
        <w:t xml:space="preserve"> Mutations in the DNA would affect the function of the produced protein. If human and yeast Cdc14 are similar in both sequence and function, than any research into Cdc14p and its enzymatic activity could be beneficial to human cancer research.</w:t>
      </w:r>
    </w:p>
    <w:p w:rsidR="00D660FE" w:rsidRDefault="00D660FE" w:rsidP="00DC1337">
      <w:pPr>
        <w:spacing w:line="480" w:lineRule="auto"/>
        <w:jc w:val="both"/>
        <w:rPr>
          <w:iCs/>
        </w:rPr>
      </w:pPr>
    </w:p>
    <w:p w:rsidR="00D660FE" w:rsidRDefault="00F82829" w:rsidP="00DC1337">
      <w:pPr>
        <w:spacing w:line="480" w:lineRule="auto"/>
        <w:jc w:val="both"/>
        <w:rPr>
          <w:iCs/>
        </w:rPr>
      </w:pPr>
      <w:r>
        <w:rPr>
          <w:i/>
          <w:iCs/>
        </w:rPr>
        <w:t>Previous R</w:t>
      </w:r>
      <w:r w:rsidR="00D660FE">
        <w:rPr>
          <w:i/>
          <w:iCs/>
        </w:rPr>
        <w:t>esearch</w:t>
      </w:r>
    </w:p>
    <w:p w:rsidR="00D660FE" w:rsidRDefault="00D660FE" w:rsidP="00DC1337">
      <w:pPr>
        <w:spacing w:line="480" w:lineRule="auto"/>
        <w:jc w:val="both"/>
        <w:rPr>
          <w:iCs/>
        </w:rPr>
      </w:pPr>
      <w:r>
        <w:rPr>
          <w:iCs/>
        </w:rPr>
        <w:t>Previous to our work, CDC14 was successfully cloned into a pET28 expression plasmid</w:t>
      </w:r>
      <w:r w:rsidR="00044C71">
        <w:rPr>
          <w:iCs/>
        </w:rPr>
        <w:t>. This plasmid contains a histadine tag to assist in protein folding and purification</w:t>
      </w:r>
      <w:r w:rsidR="00F82829">
        <w:rPr>
          <w:iCs/>
        </w:rPr>
        <w:t xml:space="preserve"> techniques</w:t>
      </w:r>
      <w:r w:rsidR="00044C71">
        <w:rPr>
          <w:iCs/>
        </w:rPr>
        <w:t xml:space="preserve">. Expression of Cdc14p was </w:t>
      </w:r>
      <w:r w:rsidR="002560D1">
        <w:rPr>
          <w:iCs/>
        </w:rPr>
        <w:t>achieved</w:t>
      </w:r>
      <w:r w:rsidR="00044C71">
        <w:rPr>
          <w:iCs/>
        </w:rPr>
        <w:t xml:space="preserve">, but the extracted protein was found to be insoluble. When expression of </w:t>
      </w:r>
      <w:r w:rsidR="00F82829">
        <w:rPr>
          <w:iCs/>
        </w:rPr>
        <w:t>a</w:t>
      </w:r>
      <w:r w:rsidR="00044C71">
        <w:rPr>
          <w:iCs/>
        </w:rPr>
        <w:t xml:space="preserve"> desired gene is occurring at such a high rate, sometimes the protein does not fold properly. Proper folding is crucial to enzymatic </w:t>
      </w:r>
      <w:r w:rsidR="000B1744">
        <w:rPr>
          <w:iCs/>
        </w:rPr>
        <w:t>activity;</w:t>
      </w:r>
      <w:r w:rsidR="00044C71">
        <w:rPr>
          <w:iCs/>
        </w:rPr>
        <w:t xml:space="preserve"> therefore this extracted protein could not be studied.</w:t>
      </w:r>
    </w:p>
    <w:p w:rsidR="00044C71" w:rsidRDefault="00044C71" w:rsidP="00DC1337">
      <w:pPr>
        <w:spacing w:line="480" w:lineRule="auto"/>
        <w:jc w:val="both"/>
        <w:rPr>
          <w:iCs/>
        </w:rPr>
      </w:pPr>
    </w:p>
    <w:p w:rsidR="00044C71" w:rsidRDefault="00044C71" w:rsidP="00DC1337">
      <w:pPr>
        <w:spacing w:line="480" w:lineRule="auto"/>
        <w:jc w:val="both"/>
        <w:rPr>
          <w:iCs/>
        </w:rPr>
      </w:pPr>
      <w:r>
        <w:rPr>
          <w:i/>
          <w:iCs/>
        </w:rPr>
        <w:t>Research Design</w:t>
      </w:r>
    </w:p>
    <w:p w:rsidR="00044C71" w:rsidRDefault="00044C71" w:rsidP="00DC1337">
      <w:pPr>
        <w:spacing w:line="480" w:lineRule="auto"/>
        <w:jc w:val="both"/>
        <w:rPr>
          <w:iCs/>
        </w:rPr>
      </w:pPr>
      <w:r>
        <w:rPr>
          <w:iCs/>
        </w:rPr>
        <w:t xml:space="preserve">Two methods were used to receive soluble expression of Cdc14p. </w:t>
      </w:r>
      <w:r w:rsidR="000B1744">
        <w:rPr>
          <w:iCs/>
        </w:rPr>
        <w:t>The first involv</w:t>
      </w:r>
      <w:r w:rsidR="002560D1">
        <w:rPr>
          <w:iCs/>
        </w:rPr>
        <w:t>ed</w:t>
      </w:r>
      <w:r w:rsidR="000B1744">
        <w:rPr>
          <w:iCs/>
        </w:rPr>
        <w:t xml:space="preserve"> the retrieval of CDC14 from the pET28 plasmid and then insertion into a GST plasmid. </w:t>
      </w:r>
      <w:r>
        <w:rPr>
          <w:iCs/>
        </w:rPr>
        <w:t xml:space="preserve">This plasmid contains a different tag that also assists in protein folding. In order to receive complete expression of Cdc14p, the entire coding region needed to be removed from pET28. </w:t>
      </w:r>
      <w:r w:rsidR="00F82829">
        <w:rPr>
          <w:iCs/>
        </w:rPr>
        <w:t>R</w:t>
      </w:r>
      <w:r>
        <w:rPr>
          <w:iCs/>
        </w:rPr>
        <w:t>estriction enzymes</w:t>
      </w:r>
      <w:r w:rsidR="00F82829">
        <w:rPr>
          <w:iCs/>
        </w:rPr>
        <w:t xml:space="preserve"> are used in for this process</w:t>
      </w:r>
      <w:r w:rsidR="001C4ABA">
        <w:rPr>
          <w:iCs/>
        </w:rPr>
        <w:t>;</w:t>
      </w:r>
      <w:r>
        <w:rPr>
          <w:iCs/>
        </w:rPr>
        <w:t xml:space="preserve"> NdeI</w:t>
      </w:r>
      <w:r w:rsidR="00F82829">
        <w:rPr>
          <w:iCs/>
        </w:rPr>
        <w:t xml:space="preserve"> was </w:t>
      </w:r>
      <w:r w:rsidR="000E1647">
        <w:rPr>
          <w:iCs/>
        </w:rPr>
        <w:t>chosen</w:t>
      </w:r>
      <w:r>
        <w:rPr>
          <w:iCs/>
        </w:rPr>
        <w:t xml:space="preserve">. Upon selection, we examined </w:t>
      </w:r>
      <w:r w:rsidR="00F82829">
        <w:rPr>
          <w:iCs/>
        </w:rPr>
        <w:t xml:space="preserve">the sequence of </w:t>
      </w:r>
      <w:r>
        <w:rPr>
          <w:iCs/>
        </w:rPr>
        <w:t xml:space="preserve">CDC14 and found an internal NdeI recognition sequence. </w:t>
      </w:r>
      <w:r w:rsidR="003C5BB3">
        <w:rPr>
          <w:iCs/>
        </w:rPr>
        <w:t xml:space="preserve">Any attempts to remove our gene would therefore </w:t>
      </w:r>
      <w:r w:rsidR="002560D1">
        <w:rPr>
          <w:iCs/>
        </w:rPr>
        <w:t xml:space="preserve">be reduced by </w:t>
      </w:r>
      <w:r w:rsidR="003C5BB3">
        <w:rPr>
          <w:iCs/>
        </w:rPr>
        <w:t xml:space="preserve">half. </w:t>
      </w:r>
    </w:p>
    <w:p w:rsidR="003C5BB3" w:rsidRDefault="003C5BB3" w:rsidP="00DC1337">
      <w:pPr>
        <w:spacing w:line="480" w:lineRule="auto"/>
        <w:ind w:firstLine="288"/>
        <w:jc w:val="both"/>
        <w:rPr>
          <w:iCs/>
        </w:rPr>
      </w:pPr>
      <w:r>
        <w:rPr>
          <w:iCs/>
        </w:rPr>
        <w:t>Site-directed mutagenesis was selected as a way to alter this internal site. Site-directed mutagenesis is</w:t>
      </w:r>
      <w:r w:rsidR="00F82829">
        <w:rPr>
          <w:iCs/>
        </w:rPr>
        <w:t xml:space="preserve"> achieved through </w:t>
      </w:r>
      <w:r w:rsidR="002560D1">
        <w:rPr>
          <w:iCs/>
        </w:rPr>
        <w:t>the polymerase chain reaction (</w:t>
      </w:r>
      <w:r w:rsidR="00F82829">
        <w:rPr>
          <w:iCs/>
        </w:rPr>
        <w:t>PCR</w:t>
      </w:r>
      <w:r w:rsidR="002560D1">
        <w:rPr>
          <w:iCs/>
        </w:rPr>
        <w:t>)</w:t>
      </w:r>
      <w:r w:rsidR="00F82829">
        <w:rPr>
          <w:iCs/>
        </w:rPr>
        <w:t xml:space="preserve">, so </w:t>
      </w:r>
      <w:r>
        <w:rPr>
          <w:iCs/>
        </w:rPr>
        <w:t>primers needed to be designed. During PCR</w:t>
      </w:r>
      <w:r w:rsidR="00F82829">
        <w:rPr>
          <w:iCs/>
        </w:rPr>
        <w:t>,</w:t>
      </w:r>
      <w:r>
        <w:rPr>
          <w:iCs/>
        </w:rPr>
        <w:t xml:space="preserve"> primers w</w:t>
      </w:r>
      <w:r w:rsidR="00F82829">
        <w:rPr>
          <w:iCs/>
        </w:rPr>
        <w:t xml:space="preserve">ill bind to the denatured pET28. Therefore, </w:t>
      </w:r>
      <w:r w:rsidR="000B1744">
        <w:rPr>
          <w:iCs/>
        </w:rPr>
        <w:t>forward and reverse primers were</w:t>
      </w:r>
      <w:r>
        <w:rPr>
          <w:iCs/>
        </w:rPr>
        <w:t xml:space="preserve"> designed. They were designed to be complementary to the desired area of our gene, so that they would bind specifically and to also be complementary to each other. This is so both stands of the plasmid would be synthesized. Our primers also need to contain a desired mutation. The internal NdeI site relative to the reading frame of our gene is:</w:t>
      </w:r>
    </w:p>
    <w:p w:rsidR="003C5BB3" w:rsidRDefault="003C5BB3" w:rsidP="00DC1337">
      <w:pPr>
        <w:spacing w:line="480" w:lineRule="auto"/>
        <w:jc w:val="both"/>
        <w:rPr>
          <w:iCs/>
        </w:rPr>
      </w:pPr>
    </w:p>
    <w:p w:rsidR="003C5BB3" w:rsidRDefault="00282719" w:rsidP="00DC1337">
      <w:pPr>
        <w:spacing w:line="480" w:lineRule="auto"/>
        <w:jc w:val="center"/>
        <w:rPr>
          <w:iCs/>
        </w:rPr>
      </w:pPr>
      <w:r w:rsidRPr="003C5BB3">
        <w:rPr>
          <w:iCs/>
        </w:rPr>
        <w:t>XCA|TAT|GXX</w:t>
      </w:r>
    </w:p>
    <w:p w:rsidR="003C5BB3" w:rsidRDefault="003C5BB3" w:rsidP="00DC1337">
      <w:pPr>
        <w:spacing w:line="480" w:lineRule="auto"/>
        <w:jc w:val="both"/>
        <w:rPr>
          <w:iCs/>
        </w:rPr>
      </w:pPr>
    </w:p>
    <w:p w:rsidR="003C5BB3" w:rsidRDefault="003C5BB3" w:rsidP="00DC1337">
      <w:pPr>
        <w:spacing w:line="480" w:lineRule="auto"/>
        <w:jc w:val="both"/>
        <w:rPr>
          <w:iCs/>
        </w:rPr>
      </w:pPr>
      <w:r>
        <w:rPr>
          <w:iCs/>
        </w:rPr>
        <w:t xml:space="preserve">The </w:t>
      </w:r>
      <w:r w:rsidR="00F82829">
        <w:rPr>
          <w:iCs/>
        </w:rPr>
        <w:t xml:space="preserve">middle </w:t>
      </w:r>
      <w:r>
        <w:rPr>
          <w:iCs/>
        </w:rPr>
        <w:t xml:space="preserve">codon shown is for tyrosine. Our primers </w:t>
      </w:r>
      <w:r w:rsidR="0005433B">
        <w:rPr>
          <w:iCs/>
        </w:rPr>
        <w:t xml:space="preserve">will be complementary to the region of our gene that contains this internal site. However, they will </w:t>
      </w:r>
      <w:r>
        <w:rPr>
          <w:iCs/>
        </w:rPr>
        <w:t xml:space="preserve">contain a one base pair change so that the nucleotide located in the third position or the wobble </w:t>
      </w:r>
      <w:r w:rsidR="000E1647">
        <w:rPr>
          <w:iCs/>
        </w:rPr>
        <w:t>position,</w:t>
      </w:r>
      <w:r>
        <w:rPr>
          <w:iCs/>
        </w:rPr>
        <w:t xml:space="preserve"> will be changed from a </w:t>
      </w:r>
      <w:r w:rsidR="000B1744">
        <w:rPr>
          <w:iCs/>
        </w:rPr>
        <w:t>thymine</w:t>
      </w:r>
      <w:r>
        <w:rPr>
          <w:iCs/>
        </w:rPr>
        <w:t xml:space="preserve"> to </w:t>
      </w:r>
      <w:r>
        <w:rPr>
          <w:iCs/>
        </w:rPr>
        <w:lastRenderedPageBreak/>
        <w:t xml:space="preserve">a cytosine. With this change, NdeI will </w:t>
      </w:r>
      <w:r w:rsidR="0005433B">
        <w:rPr>
          <w:iCs/>
        </w:rPr>
        <w:t>no longer recognize this region, but the resulting mRNA will still encode for a tyrosine at this location.</w:t>
      </w:r>
    </w:p>
    <w:p w:rsidR="0005433B" w:rsidRDefault="0005433B" w:rsidP="00DC1337">
      <w:pPr>
        <w:spacing w:line="480" w:lineRule="auto"/>
        <w:ind w:firstLine="288"/>
        <w:jc w:val="both"/>
        <w:rPr>
          <w:iCs/>
        </w:rPr>
      </w:pPr>
      <w:r>
        <w:rPr>
          <w:iCs/>
        </w:rPr>
        <w:t>Our primers, with this mutation, will bind to the denatured plasmid. DNA polymerase will then synthesize both strands and upon reaction cooling, complementary strands will associate back together. With a final ligation reaction,</w:t>
      </w:r>
      <w:r w:rsidR="00F82829">
        <w:rPr>
          <w:iCs/>
        </w:rPr>
        <w:t xml:space="preserve"> the plasmid will be sealed </w:t>
      </w:r>
      <w:r w:rsidR="000E1647">
        <w:rPr>
          <w:iCs/>
        </w:rPr>
        <w:t>and we</w:t>
      </w:r>
      <w:r>
        <w:rPr>
          <w:iCs/>
        </w:rPr>
        <w:t xml:space="preserve"> will again have a </w:t>
      </w:r>
      <w:r w:rsidR="00F82829">
        <w:rPr>
          <w:iCs/>
        </w:rPr>
        <w:t xml:space="preserve">circular, </w:t>
      </w:r>
      <w:r>
        <w:rPr>
          <w:iCs/>
        </w:rPr>
        <w:t>functional double stranded plasmid.</w:t>
      </w:r>
      <w:r w:rsidR="00F82829">
        <w:rPr>
          <w:iCs/>
        </w:rPr>
        <w:t xml:space="preserve"> </w:t>
      </w:r>
      <w:r>
        <w:rPr>
          <w:iCs/>
        </w:rPr>
        <w:t>Once this process is complete, we will be able to successfully retrieve CDC14 and insert it into the new plasmid. If soluble expression is received</w:t>
      </w:r>
      <w:r w:rsidR="00FB34FF">
        <w:rPr>
          <w:iCs/>
        </w:rPr>
        <w:t>, the resulting extracted protein can be purified and studied.</w:t>
      </w:r>
    </w:p>
    <w:p w:rsidR="001E4D9A" w:rsidRDefault="00FB34FF" w:rsidP="00DC1337">
      <w:pPr>
        <w:spacing w:line="480" w:lineRule="auto"/>
        <w:ind w:firstLine="288"/>
        <w:jc w:val="both"/>
        <w:rPr>
          <w:b/>
          <w:iCs/>
        </w:rPr>
      </w:pPr>
      <w:r>
        <w:rPr>
          <w:iCs/>
        </w:rPr>
        <w:t xml:space="preserve">The second method employed will involve using the pET28 plasmid </w:t>
      </w:r>
      <w:r w:rsidR="00F82829">
        <w:rPr>
          <w:iCs/>
        </w:rPr>
        <w:t>without alterations</w:t>
      </w:r>
      <w:r>
        <w:rPr>
          <w:iCs/>
        </w:rPr>
        <w:t xml:space="preserve">. </w:t>
      </w:r>
      <w:r w:rsidR="00F82829">
        <w:rPr>
          <w:iCs/>
        </w:rPr>
        <w:t>It</w:t>
      </w:r>
      <w:r>
        <w:rPr>
          <w:iCs/>
        </w:rPr>
        <w:t xml:space="preserve"> will simply be transformed into competent </w:t>
      </w:r>
      <w:r>
        <w:rPr>
          <w:i/>
          <w:iCs/>
        </w:rPr>
        <w:t>E. coli</w:t>
      </w:r>
      <w:r>
        <w:rPr>
          <w:iCs/>
        </w:rPr>
        <w:t xml:space="preserve">. </w:t>
      </w:r>
      <w:r w:rsidR="000B1744">
        <w:rPr>
          <w:iCs/>
        </w:rPr>
        <w:t>These transformed cells</w:t>
      </w:r>
      <w:r>
        <w:rPr>
          <w:iCs/>
        </w:rPr>
        <w:t xml:space="preserve"> will then be </w:t>
      </w:r>
      <w:r w:rsidR="00F82829">
        <w:rPr>
          <w:iCs/>
        </w:rPr>
        <w:t xml:space="preserve">grown up into large cultures and </w:t>
      </w:r>
      <w:r>
        <w:rPr>
          <w:iCs/>
        </w:rPr>
        <w:t>introduced to a solution containing sarkosyl, triton X-100 and CHAPS</w:t>
      </w:r>
      <w:r w:rsidR="001C4ABA">
        <w:rPr>
          <w:iCs/>
        </w:rPr>
        <w:t xml:space="preserve"> or a solution of just sarkosyl</w:t>
      </w:r>
      <w:r>
        <w:rPr>
          <w:iCs/>
        </w:rPr>
        <w:t xml:space="preserve">. When a protein is being made from an expression plasmid, such a high </w:t>
      </w:r>
      <w:r w:rsidR="00F82829">
        <w:rPr>
          <w:iCs/>
        </w:rPr>
        <w:t>quantity</w:t>
      </w:r>
      <w:r>
        <w:rPr>
          <w:iCs/>
        </w:rPr>
        <w:t xml:space="preserve"> is being made that certain events can take place inside the cell. One of which is the possible aggregation of properly folded protein into tightly associated inclusion bodies. When the cell is then lysed, these inclusion bodies cannot be properly released and only the insoluble, incorrectly folded protein is extracted. These three compounds work as mild </w:t>
      </w:r>
      <w:r w:rsidR="00302336">
        <w:rPr>
          <w:iCs/>
        </w:rPr>
        <w:t>detergents</w:t>
      </w:r>
      <w:r>
        <w:rPr>
          <w:iCs/>
        </w:rPr>
        <w:t xml:space="preserve"> to synergistically break up </w:t>
      </w:r>
      <w:r w:rsidR="00302336">
        <w:rPr>
          <w:iCs/>
        </w:rPr>
        <w:t>inclusion</w:t>
      </w:r>
      <w:r>
        <w:rPr>
          <w:iCs/>
        </w:rPr>
        <w:t xml:space="preserve"> bodies. Upon lysis, the properly folded protein can </w:t>
      </w:r>
      <w:r w:rsidR="00302336">
        <w:rPr>
          <w:iCs/>
        </w:rPr>
        <w:t xml:space="preserve">then be released and extracted. </w:t>
      </w:r>
    </w:p>
    <w:p w:rsidR="00947201" w:rsidRDefault="00947201" w:rsidP="00DC1337">
      <w:pPr>
        <w:spacing w:line="480" w:lineRule="auto"/>
        <w:jc w:val="both"/>
        <w:rPr>
          <w:b/>
          <w:iCs/>
        </w:rPr>
      </w:pPr>
    </w:p>
    <w:p w:rsidR="00514BF5" w:rsidRDefault="00514BF5" w:rsidP="00DC1337">
      <w:pPr>
        <w:spacing w:line="480" w:lineRule="auto"/>
        <w:jc w:val="both"/>
        <w:rPr>
          <w:b/>
          <w:iCs/>
        </w:rPr>
      </w:pPr>
      <w:r>
        <w:rPr>
          <w:b/>
          <w:iCs/>
        </w:rPr>
        <w:t>Experimental</w:t>
      </w:r>
    </w:p>
    <w:p w:rsidR="00514BF5" w:rsidRDefault="00514BF5" w:rsidP="00DC1337">
      <w:pPr>
        <w:spacing w:line="480" w:lineRule="auto"/>
        <w:jc w:val="both"/>
        <w:rPr>
          <w:iCs/>
        </w:rPr>
      </w:pPr>
      <w:r>
        <w:rPr>
          <w:i/>
          <w:iCs/>
        </w:rPr>
        <w:t>Site-Directed Mutagenesis – 1</w:t>
      </w:r>
    </w:p>
    <w:p w:rsidR="00514BF5" w:rsidRDefault="00514BF5" w:rsidP="00DC1337">
      <w:pPr>
        <w:spacing w:line="480" w:lineRule="auto"/>
        <w:jc w:val="both"/>
        <w:rPr>
          <w:iCs/>
        </w:rPr>
      </w:pPr>
      <w:r>
        <w:rPr>
          <w:iCs/>
        </w:rPr>
        <w:t xml:space="preserve">Four experimental PCR samples were made </w:t>
      </w:r>
      <w:r w:rsidR="00F82829">
        <w:rPr>
          <w:iCs/>
        </w:rPr>
        <w:t>with</w:t>
      </w:r>
      <w:r>
        <w:rPr>
          <w:iCs/>
        </w:rPr>
        <w:t xml:space="preserve"> the </w:t>
      </w:r>
      <w:r w:rsidR="00F82829">
        <w:rPr>
          <w:iCs/>
        </w:rPr>
        <w:t>following reagents</w:t>
      </w:r>
      <w:r>
        <w:rPr>
          <w:iCs/>
        </w:rPr>
        <w:t>:</w:t>
      </w:r>
    </w:p>
    <w:p w:rsidR="00514BF5" w:rsidRDefault="00514BF5" w:rsidP="00DC1337">
      <w:pPr>
        <w:pStyle w:val="ListParagraph"/>
        <w:numPr>
          <w:ilvl w:val="0"/>
          <w:numId w:val="2"/>
        </w:numPr>
        <w:spacing w:line="480" w:lineRule="auto"/>
        <w:jc w:val="both"/>
        <w:rPr>
          <w:iCs/>
        </w:rPr>
      </w:pPr>
      <w:r>
        <w:rPr>
          <w:iCs/>
        </w:rPr>
        <w:t>Designed primers</w:t>
      </w:r>
    </w:p>
    <w:p w:rsidR="00514BF5" w:rsidRDefault="00514BF5" w:rsidP="00DC1337">
      <w:pPr>
        <w:pStyle w:val="ListParagraph"/>
        <w:numPr>
          <w:ilvl w:val="0"/>
          <w:numId w:val="2"/>
        </w:numPr>
        <w:spacing w:line="480" w:lineRule="auto"/>
        <w:jc w:val="both"/>
        <w:rPr>
          <w:iCs/>
        </w:rPr>
      </w:pPr>
      <w:r>
        <w:rPr>
          <w:iCs/>
        </w:rPr>
        <w:lastRenderedPageBreak/>
        <w:t>pET28- for each reaction a different sample of plasmid was used; 7-16A, 7-16C, 10-7A, and 10-7C</w:t>
      </w:r>
    </w:p>
    <w:p w:rsidR="00514BF5" w:rsidRDefault="00514BF5" w:rsidP="00DC1337">
      <w:pPr>
        <w:pStyle w:val="ListParagraph"/>
        <w:numPr>
          <w:ilvl w:val="0"/>
          <w:numId w:val="2"/>
        </w:numPr>
        <w:spacing w:line="480" w:lineRule="auto"/>
        <w:jc w:val="both"/>
        <w:rPr>
          <w:iCs/>
        </w:rPr>
      </w:pPr>
      <w:r>
        <w:rPr>
          <w:iCs/>
        </w:rPr>
        <w:t xml:space="preserve">From </w:t>
      </w:r>
      <w:r w:rsidR="00F82829">
        <w:rPr>
          <w:iCs/>
        </w:rPr>
        <w:t xml:space="preserve">a </w:t>
      </w:r>
      <w:r>
        <w:rPr>
          <w:iCs/>
        </w:rPr>
        <w:t xml:space="preserve">Phusion© HotStart PCR </w:t>
      </w:r>
      <w:r w:rsidR="008B4D68">
        <w:rPr>
          <w:iCs/>
        </w:rPr>
        <w:t>k</w:t>
      </w:r>
      <w:r>
        <w:rPr>
          <w:iCs/>
        </w:rPr>
        <w:t xml:space="preserve">it: 5X buffer, </w:t>
      </w:r>
      <w:r w:rsidR="000B1744">
        <w:rPr>
          <w:iCs/>
        </w:rPr>
        <w:t>nucleotides</w:t>
      </w:r>
      <w:r>
        <w:rPr>
          <w:iCs/>
        </w:rPr>
        <w:t>, HotStart polymerase</w:t>
      </w:r>
    </w:p>
    <w:p w:rsidR="00514BF5" w:rsidRDefault="00514BF5" w:rsidP="00DC1337">
      <w:pPr>
        <w:spacing w:line="480" w:lineRule="auto"/>
        <w:jc w:val="both"/>
        <w:rPr>
          <w:iCs/>
        </w:rPr>
      </w:pPr>
      <w:r>
        <w:rPr>
          <w:iCs/>
        </w:rPr>
        <w:t>The kit used also provided a control primer mix and plasmid for a separate positive control reaction, making a total of five PCR samples. Reactions were set up in the following order:</w:t>
      </w:r>
    </w:p>
    <w:p w:rsidR="00514BF5" w:rsidRDefault="00514BF5" w:rsidP="00DC1337">
      <w:pPr>
        <w:pStyle w:val="ListParagraph"/>
        <w:numPr>
          <w:ilvl w:val="0"/>
          <w:numId w:val="3"/>
        </w:numPr>
        <w:spacing w:line="480" w:lineRule="auto"/>
        <w:jc w:val="both"/>
        <w:rPr>
          <w:iCs/>
        </w:rPr>
      </w:pPr>
      <w:r>
        <w:rPr>
          <w:iCs/>
        </w:rPr>
        <w:t>H</w:t>
      </w:r>
      <w:r>
        <w:rPr>
          <w:iCs/>
          <w:vertAlign w:val="subscript"/>
        </w:rPr>
        <w:t>2</w:t>
      </w:r>
      <w:r>
        <w:rPr>
          <w:iCs/>
        </w:rPr>
        <w:t>O – to bring the total reaction volume to 50µL</w:t>
      </w:r>
    </w:p>
    <w:p w:rsidR="00514BF5" w:rsidRDefault="008B4D68" w:rsidP="00DC1337">
      <w:pPr>
        <w:pStyle w:val="ListParagraph"/>
        <w:numPr>
          <w:ilvl w:val="0"/>
          <w:numId w:val="3"/>
        </w:numPr>
        <w:spacing w:line="480" w:lineRule="auto"/>
        <w:jc w:val="both"/>
        <w:rPr>
          <w:iCs/>
        </w:rPr>
      </w:pPr>
      <w:r>
        <w:rPr>
          <w:iCs/>
        </w:rPr>
        <w:t>5X Phusion© b</w:t>
      </w:r>
      <w:r w:rsidR="00514BF5">
        <w:rPr>
          <w:iCs/>
        </w:rPr>
        <w:t>uffer</w:t>
      </w:r>
    </w:p>
    <w:p w:rsidR="00514BF5" w:rsidRDefault="00514BF5" w:rsidP="00DC1337">
      <w:pPr>
        <w:pStyle w:val="ListParagraph"/>
        <w:numPr>
          <w:ilvl w:val="0"/>
          <w:numId w:val="3"/>
        </w:numPr>
        <w:spacing w:line="480" w:lineRule="auto"/>
        <w:jc w:val="both"/>
        <w:rPr>
          <w:iCs/>
        </w:rPr>
      </w:pPr>
      <w:r>
        <w:rPr>
          <w:iCs/>
        </w:rPr>
        <w:t>Nucleotides</w:t>
      </w:r>
    </w:p>
    <w:p w:rsidR="00514BF5" w:rsidRDefault="00514BF5" w:rsidP="00DC1337">
      <w:pPr>
        <w:pStyle w:val="ListParagraph"/>
        <w:numPr>
          <w:ilvl w:val="0"/>
          <w:numId w:val="3"/>
        </w:numPr>
        <w:spacing w:line="480" w:lineRule="auto"/>
        <w:jc w:val="both"/>
        <w:rPr>
          <w:iCs/>
        </w:rPr>
      </w:pPr>
      <w:r>
        <w:rPr>
          <w:iCs/>
        </w:rPr>
        <w:t>Primers</w:t>
      </w:r>
    </w:p>
    <w:p w:rsidR="00514BF5" w:rsidRDefault="00514BF5" w:rsidP="00DC1337">
      <w:pPr>
        <w:pStyle w:val="ListParagraph"/>
        <w:numPr>
          <w:ilvl w:val="0"/>
          <w:numId w:val="3"/>
        </w:numPr>
        <w:spacing w:line="480" w:lineRule="auto"/>
        <w:jc w:val="both"/>
        <w:rPr>
          <w:iCs/>
        </w:rPr>
      </w:pPr>
      <w:r>
        <w:rPr>
          <w:iCs/>
        </w:rPr>
        <w:t>Template DNA</w:t>
      </w:r>
    </w:p>
    <w:p w:rsidR="00514BF5" w:rsidRDefault="00514BF5" w:rsidP="00DC1337">
      <w:pPr>
        <w:spacing w:line="480" w:lineRule="auto"/>
        <w:jc w:val="both"/>
        <w:rPr>
          <w:iCs/>
        </w:rPr>
      </w:pPr>
      <w:r>
        <w:rPr>
          <w:iCs/>
        </w:rPr>
        <w:t xml:space="preserve">At this point, all samples were </w:t>
      </w:r>
      <w:r w:rsidR="000B1744">
        <w:rPr>
          <w:iCs/>
        </w:rPr>
        <w:t>thoroughly</w:t>
      </w:r>
      <w:r>
        <w:rPr>
          <w:iCs/>
        </w:rPr>
        <w:t xml:space="preserve"> mixed. Once </w:t>
      </w:r>
      <w:r w:rsidR="002560D1">
        <w:rPr>
          <w:iCs/>
        </w:rPr>
        <w:t xml:space="preserve">the </w:t>
      </w:r>
      <w:r>
        <w:rPr>
          <w:iCs/>
        </w:rPr>
        <w:t xml:space="preserve">thermocycler had been programmed by Dr. Kim Simons </w:t>
      </w:r>
      <w:r w:rsidR="000E1647">
        <w:rPr>
          <w:iCs/>
        </w:rPr>
        <w:t>the Phusion</w:t>
      </w:r>
      <w:r>
        <w:rPr>
          <w:rFonts w:cs="Times New Roman"/>
          <w:iCs/>
        </w:rPr>
        <w:t>©</w:t>
      </w:r>
      <w:r w:rsidR="00F82829">
        <w:rPr>
          <w:iCs/>
        </w:rPr>
        <w:t xml:space="preserve"> p</w:t>
      </w:r>
      <w:r>
        <w:rPr>
          <w:iCs/>
        </w:rPr>
        <w:t>olymerase was added, reaction</w:t>
      </w:r>
      <w:r w:rsidR="00F82829">
        <w:rPr>
          <w:iCs/>
        </w:rPr>
        <w:t>s</w:t>
      </w:r>
      <w:r>
        <w:rPr>
          <w:iCs/>
        </w:rPr>
        <w:t xml:space="preserve"> were placed in </w:t>
      </w:r>
      <w:r w:rsidR="002560D1">
        <w:rPr>
          <w:iCs/>
        </w:rPr>
        <w:t xml:space="preserve">the </w:t>
      </w:r>
      <w:r w:rsidR="000B1744">
        <w:rPr>
          <w:iCs/>
        </w:rPr>
        <w:t>apparatus</w:t>
      </w:r>
      <w:r>
        <w:rPr>
          <w:iCs/>
        </w:rPr>
        <w:t xml:space="preserve"> and</w:t>
      </w:r>
      <w:r w:rsidR="008B4D68">
        <w:rPr>
          <w:iCs/>
        </w:rPr>
        <w:t xml:space="preserve"> allowed to</w:t>
      </w:r>
      <w:r>
        <w:rPr>
          <w:iCs/>
        </w:rPr>
        <w:t xml:space="preserve"> run. Upon reaction completion, the restriction enzyme DpnI was added to </w:t>
      </w:r>
      <w:r w:rsidR="000B1744">
        <w:rPr>
          <w:iCs/>
        </w:rPr>
        <w:t>degrade</w:t>
      </w:r>
      <w:r>
        <w:rPr>
          <w:iCs/>
        </w:rPr>
        <w:t xml:space="preserve"> </w:t>
      </w:r>
      <w:r w:rsidR="00F82829">
        <w:rPr>
          <w:iCs/>
        </w:rPr>
        <w:t xml:space="preserve">the </w:t>
      </w:r>
      <w:r w:rsidR="000B1744">
        <w:rPr>
          <w:iCs/>
        </w:rPr>
        <w:t>original</w:t>
      </w:r>
      <w:r>
        <w:rPr>
          <w:iCs/>
        </w:rPr>
        <w:t xml:space="preserve"> pET28. The newly amplified </w:t>
      </w:r>
      <w:r w:rsidR="000B1744">
        <w:rPr>
          <w:iCs/>
        </w:rPr>
        <w:t>plasmid</w:t>
      </w:r>
      <w:r>
        <w:rPr>
          <w:iCs/>
        </w:rPr>
        <w:t xml:space="preserve"> </w:t>
      </w:r>
      <w:r w:rsidR="002560D1">
        <w:rPr>
          <w:iCs/>
        </w:rPr>
        <w:t>was</w:t>
      </w:r>
      <w:r>
        <w:rPr>
          <w:iCs/>
        </w:rPr>
        <w:t xml:space="preserve"> left intact.</w:t>
      </w:r>
    </w:p>
    <w:p w:rsidR="00514BF5" w:rsidRDefault="00514BF5" w:rsidP="00DC1337">
      <w:pPr>
        <w:spacing w:line="480" w:lineRule="auto"/>
        <w:ind w:firstLine="288"/>
        <w:jc w:val="both"/>
        <w:rPr>
          <w:iCs/>
        </w:rPr>
      </w:pPr>
      <w:r>
        <w:rPr>
          <w:iCs/>
        </w:rPr>
        <w:t xml:space="preserve">Verification of amplification was done via gel </w:t>
      </w:r>
      <w:r w:rsidR="000B1744">
        <w:rPr>
          <w:iCs/>
        </w:rPr>
        <w:t>electrophoresis</w:t>
      </w:r>
      <w:r>
        <w:rPr>
          <w:iCs/>
        </w:rPr>
        <w:t xml:space="preserve">. All PCR samples were purified using the QIAGEN Nucleotide Removal </w:t>
      </w:r>
      <w:r w:rsidR="00F82829">
        <w:rPr>
          <w:iCs/>
        </w:rPr>
        <w:t>k</w:t>
      </w:r>
      <w:r>
        <w:rPr>
          <w:iCs/>
        </w:rPr>
        <w:t xml:space="preserve">it. Each sample was placed into </w:t>
      </w:r>
      <w:r w:rsidR="00F82829">
        <w:rPr>
          <w:iCs/>
        </w:rPr>
        <w:t>a</w:t>
      </w:r>
      <w:r>
        <w:rPr>
          <w:iCs/>
        </w:rPr>
        <w:t xml:space="preserve"> provided spin column and ten volumes of PN </w:t>
      </w:r>
      <w:r w:rsidR="002560D1">
        <w:rPr>
          <w:iCs/>
        </w:rPr>
        <w:t xml:space="preserve">binding </w:t>
      </w:r>
      <w:r>
        <w:rPr>
          <w:iCs/>
        </w:rPr>
        <w:t xml:space="preserve">buffer was added to one volume of reaction sample. </w:t>
      </w:r>
      <w:r w:rsidR="000B1744">
        <w:rPr>
          <w:iCs/>
        </w:rPr>
        <w:t>Solution</w:t>
      </w:r>
      <w:r>
        <w:rPr>
          <w:iCs/>
        </w:rPr>
        <w:t xml:space="preserve"> was centrifuged, </w:t>
      </w:r>
      <w:r w:rsidR="000B1744">
        <w:rPr>
          <w:iCs/>
        </w:rPr>
        <w:t>flow though</w:t>
      </w:r>
      <w:r>
        <w:rPr>
          <w:iCs/>
        </w:rPr>
        <w:t xml:space="preserve"> discarded. PE </w:t>
      </w:r>
      <w:r w:rsidR="002560D1">
        <w:rPr>
          <w:iCs/>
        </w:rPr>
        <w:t xml:space="preserve">wash </w:t>
      </w:r>
      <w:r>
        <w:rPr>
          <w:iCs/>
        </w:rPr>
        <w:t xml:space="preserve">buffer was added to </w:t>
      </w:r>
      <w:r w:rsidR="00F82829">
        <w:rPr>
          <w:iCs/>
        </w:rPr>
        <w:t xml:space="preserve">the </w:t>
      </w:r>
      <w:r>
        <w:rPr>
          <w:iCs/>
        </w:rPr>
        <w:t xml:space="preserve">column and </w:t>
      </w:r>
      <w:r w:rsidR="00F82829">
        <w:rPr>
          <w:iCs/>
        </w:rPr>
        <w:t>the solution was centrifuged again,</w:t>
      </w:r>
      <w:r>
        <w:rPr>
          <w:iCs/>
        </w:rPr>
        <w:t xml:space="preserve"> </w:t>
      </w:r>
      <w:r w:rsidR="000B1744">
        <w:rPr>
          <w:iCs/>
        </w:rPr>
        <w:t>flow though</w:t>
      </w:r>
      <w:r>
        <w:rPr>
          <w:iCs/>
        </w:rPr>
        <w:t xml:space="preserve"> discarded. Column was spun again</w:t>
      </w:r>
      <w:r w:rsidR="00F82829">
        <w:rPr>
          <w:iCs/>
        </w:rPr>
        <w:t xml:space="preserve"> to ensure dryness</w:t>
      </w:r>
      <w:r w:rsidR="002560D1">
        <w:rPr>
          <w:iCs/>
        </w:rPr>
        <w:t>. Tris EDTA</w:t>
      </w:r>
      <w:r>
        <w:rPr>
          <w:iCs/>
        </w:rPr>
        <w:t xml:space="preserve"> buffer was added to the column, </w:t>
      </w:r>
      <w:r w:rsidR="000B1744">
        <w:rPr>
          <w:iCs/>
        </w:rPr>
        <w:t>samples</w:t>
      </w:r>
      <w:r>
        <w:rPr>
          <w:iCs/>
        </w:rPr>
        <w:t xml:space="preserve"> were </w:t>
      </w:r>
      <w:r w:rsidR="000B1744">
        <w:rPr>
          <w:iCs/>
        </w:rPr>
        <w:t>allowed</w:t>
      </w:r>
      <w:r>
        <w:rPr>
          <w:iCs/>
        </w:rPr>
        <w:t xml:space="preserve"> to sit before they were again centrifuged. </w:t>
      </w:r>
      <w:r w:rsidR="000B1744">
        <w:rPr>
          <w:iCs/>
        </w:rPr>
        <w:t>Flow through</w:t>
      </w:r>
      <w:r>
        <w:rPr>
          <w:iCs/>
        </w:rPr>
        <w:t xml:space="preserve"> </w:t>
      </w:r>
      <w:r w:rsidR="002560D1">
        <w:rPr>
          <w:iCs/>
        </w:rPr>
        <w:t>from the spin column was labeled and stored</w:t>
      </w:r>
      <w:r>
        <w:rPr>
          <w:iCs/>
        </w:rPr>
        <w:t>.</w:t>
      </w:r>
    </w:p>
    <w:p w:rsidR="00514BF5" w:rsidRDefault="00514BF5" w:rsidP="00DC1337">
      <w:pPr>
        <w:spacing w:line="480" w:lineRule="auto"/>
        <w:ind w:firstLine="288"/>
        <w:jc w:val="both"/>
        <w:rPr>
          <w:iCs/>
        </w:rPr>
      </w:pPr>
      <w:r>
        <w:rPr>
          <w:iCs/>
        </w:rPr>
        <w:t xml:space="preserve">At a later </w:t>
      </w:r>
      <w:r w:rsidR="00F82829">
        <w:rPr>
          <w:iCs/>
        </w:rPr>
        <w:t>time,</w:t>
      </w:r>
      <w:r>
        <w:rPr>
          <w:iCs/>
        </w:rPr>
        <w:t xml:space="preserve"> a</w:t>
      </w:r>
      <w:r w:rsidR="00F82829">
        <w:rPr>
          <w:iCs/>
        </w:rPr>
        <w:t>ll</w:t>
      </w:r>
      <w:r>
        <w:rPr>
          <w:iCs/>
        </w:rPr>
        <w:t xml:space="preserve"> samples were </w:t>
      </w:r>
      <w:r w:rsidR="000E1647">
        <w:rPr>
          <w:iCs/>
        </w:rPr>
        <w:t>separated</w:t>
      </w:r>
      <w:r>
        <w:rPr>
          <w:iCs/>
        </w:rPr>
        <w:t xml:space="preserve"> via gel electrophoresis by Dr. Kim Simons</w:t>
      </w:r>
    </w:p>
    <w:p w:rsidR="00514BF5" w:rsidRDefault="00514BF5" w:rsidP="00DC1337">
      <w:pPr>
        <w:spacing w:line="480" w:lineRule="auto"/>
        <w:jc w:val="both"/>
        <w:rPr>
          <w:iCs/>
        </w:rPr>
      </w:pPr>
    </w:p>
    <w:p w:rsidR="001E4D9A" w:rsidRDefault="001E4D9A" w:rsidP="00DC1337">
      <w:pPr>
        <w:spacing w:line="480" w:lineRule="auto"/>
        <w:jc w:val="both"/>
        <w:rPr>
          <w:i/>
          <w:iCs/>
        </w:rPr>
      </w:pPr>
    </w:p>
    <w:p w:rsidR="001E4D9A" w:rsidRDefault="00514BF5" w:rsidP="00DC1337">
      <w:pPr>
        <w:spacing w:line="480" w:lineRule="auto"/>
        <w:jc w:val="both"/>
        <w:rPr>
          <w:i/>
          <w:iCs/>
        </w:rPr>
      </w:pPr>
      <w:r>
        <w:rPr>
          <w:i/>
          <w:iCs/>
        </w:rPr>
        <w:t>Site-Directed Mutagenesis –2</w:t>
      </w:r>
    </w:p>
    <w:p w:rsidR="00514BF5" w:rsidRDefault="00514BF5" w:rsidP="00DC1337">
      <w:pPr>
        <w:spacing w:line="480" w:lineRule="auto"/>
        <w:jc w:val="both"/>
        <w:rPr>
          <w:iCs/>
        </w:rPr>
      </w:pPr>
      <w:r>
        <w:rPr>
          <w:iCs/>
        </w:rPr>
        <w:t xml:space="preserve">PCR was set up and run identical to round </w:t>
      </w:r>
      <w:r w:rsidR="000B1744">
        <w:rPr>
          <w:iCs/>
        </w:rPr>
        <w:t>1;</w:t>
      </w:r>
      <w:r>
        <w:rPr>
          <w:iCs/>
        </w:rPr>
        <w:t xml:space="preserve"> however, the annealing temperature was lowered by Dr. Kim Simons.</w:t>
      </w:r>
    </w:p>
    <w:p w:rsidR="00514BF5" w:rsidRDefault="00514BF5" w:rsidP="00DC1337">
      <w:pPr>
        <w:spacing w:line="480" w:lineRule="auto"/>
        <w:ind w:firstLine="288"/>
        <w:jc w:val="both"/>
        <w:rPr>
          <w:iCs/>
        </w:rPr>
      </w:pPr>
      <w:r>
        <w:rPr>
          <w:iCs/>
        </w:rPr>
        <w:t xml:space="preserve">Verification was done by transforming each PCR sample into </w:t>
      </w:r>
      <w:r w:rsidR="000B1744">
        <w:rPr>
          <w:iCs/>
        </w:rPr>
        <w:t>competent</w:t>
      </w:r>
      <w:r>
        <w:rPr>
          <w:iCs/>
        </w:rPr>
        <w:t xml:space="preserve"> </w:t>
      </w:r>
      <w:r w:rsidRPr="00514BF5">
        <w:rPr>
          <w:i/>
          <w:iCs/>
        </w:rPr>
        <w:t>E. coli</w:t>
      </w:r>
      <w:r>
        <w:rPr>
          <w:i/>
          <w:iCs/>
        </w:rPr>
        <w:t>.</w:t>
      </w:r>
      <w:r>
        <w:rPr>
          <w:iCs/>
        </w:rPr>
        <w:t xml:space="preserve"> Previous to </w:t>
      </w:r>
      <w:r w:rsidR="000B1744">
        <w:rPr>
          <w:iCs/>
        </w:rPr>
        <w:t>verification</w:t>
      </w:r>
      <w:r>
        <w:rPr>
          <w:iCs/>
        </w:rPr>
        <w:t xml:space="preserve"> a ligation reaction was done by Dr. Kim Simons.  Cells were removed from the freeze</w:t>
      </w:r>
      <w:r w:rsidR="00F82829">
        <w:rPr>
          <w:iCs/>
        </w:rPr>
        <w:t>r</w:t>
      </w:r>
      <w:r>
        <w:rPr>
          <w:iCs/>
        </w:rPr>
        <w:t xml:space="preserve"> and </w:t>
      </w:r>
      <w:r w:rsidR="000B1744">
        <w:rPr>
          <w:iCs/>
        </w:rPr>
        <w:t>aliquoted</w:t>
      </w:r>
      <w:r>
        <w:rPr>
          <w:iCs/>
        </w:rPr>
        <w:t xml:space="preserve"> into five tubes; one for each sample. 1 </w:t>
      </w:r>
      <w:r>
        <w:rPr>
          <w:rFonts w:cs="Times New Roman"/>
          <w:iCs/>
        </w:rPr>
        <w:t>µ</w:t>
      </w:r>
      <w:r>
        <w:rPr>
          <w:iCs/>
        </w:rPr>
        <w:t>L from each PCR sample was added; samples were allowed to sit on ice for 10 minutes. Each solution was then heat shocked for 30 seconds at 42</w:t>
      </w:r>
      <w:r>
        <w:rPr>
          <w:rFonts w:cs="Times New Roman"/>
          <w:iCs/>
        </w:rPr>
        <w:t>º</w:t>
      </w:r>
      <w:r>
        <w:rPr>
          <w:iCs/>
        </w:rPr>
        <w:t xml:space="preserve">C.  After heat treatment, liquid </w:t>
      </w:r>
      <w:r w:rsidR="002560D1" w:rsidRPr="002560D1">
        <w:rPr>
          <w:rFonts w:cs="Times New Roman"/>
          <w:color w:val="000000"/>
        </w:rPr>
        <w:t>Luria-Bertani</w:t>
      </w:r>
      <w:r w:rsidR="002560D1">
        <w:rPr>
          <w:rFonts w:cs="Times New Roman"/>
          <w:color w:val="000000"/>
        </w:rPr>
        <w:t xml:space="preserve"> (LB)</w:t>
      </w:r>
      <w:r w:rsidR="002560D1">
        <w:rPr>
          <w:rFonts w:ascii="Arial" w:hAnsi="Arial" w:cs="Arial"/>
          <w:color w:val="000000"/>
        </w:rPr>
        <w:t xml:space="preserve"> </w:t>
      </w:r>
      <w:r>
        <w:rPr>
          <w:iCs/>
        </w:rPr>
        <w:t xml:space="preserve">media was added to all samples and they were </w:t>
      </w:r>
      <w:r w:rsidR="000B1744">
        <w:rPr>
          <w:iCs/>
        </w:rPr>
        <w:t>allowed</w:t>
      </w:r>
      <w:r>
        <w:rPr>
          <w:iCs/>
        </w:rPr>
        <w:t xml:space="preserve"> to incubate for 30 minutes at 37</w:t>
      </w:r>
      <w:r>
        <w:rPr>
          <w:rFonts w:cs="Times New Roman"/>
          <w:iCs/>
        </w:rPr>
        <w:t>º</w:t>
      </w:r>
      <w:r>
        <w:rPr>
          <w:iCs/>
        </w:rPr>
        <w:t>C</w:t>
      </w:r>
      <w:r w:rsidR="00F82829">
        <w:rPr>
          <w:iCs/>
        </w:rPr>
        <w:t>,</w:t>
      </w:r>
      <w:r>
        <w:rPr>
          <w:iCs/>
        </w:rPr>
        <w:t xml:space="preserve"> with agitation.  Experimental samples were plated on media containing kanamycin, </w:t>
      </w:r>
      <w:r w:rsidR="000B1744">
        <w:rPr>
          <w:iCs/>
        </w:rPr>
        <w:t>control</w:t>
      </w:r>
      <w:r>
        <w:rPr>
          <w:iCs/>
        </w:rPr>
        <w:t xml:space="preserve"> on media containing ampicillin. </w:t>
      </w:r>
    </w:p>
    <w:p w:rsidR="00FA6B9F" w:rsidRDefault="00FA6B9F" w:rsidP="00DC1337">
      <w:pPr>
        <w:spacing w:line="480" w:lineRule="auto"/>
        <w:ind w:firstLine="288"/>
        <w:jc w:val="both"/>
        <w:rPr>
          <w:iCs/>
        </w:rPr>
      </w:pPr>
    </w:p>
    <w:p w:rsidR="00514BF5" w:rsidRDefault="00514BF5" w:rsidP="00DC1337">
      <w:pPr>
        <w:spacing w:line="480" w:lineRule="auto"/>
        <w:jc w:val="both"/>
        <w:rPr>
          <w:iCs/>
        </w:rPr>
      </w:pPr>
      <w:r>
        <w:rPr>
          <w:i/>
          <w:iCs/>
        </w:rPr>
        <w:t>Site-Directed Mutagenesis- 3</w:t>
      </w:r>
    </w:p>
    <w:p w:rsidR="00514BF5" w:rsidRDefault="00514BF5" w:rsidP="00DC1337">
      <w:pPr>
        <w:spacing w:line="480" w:lineRule="auto"/>
        <w:jc w:val="both"/>
        <w:rPr>
          <w:iCs/>
        </w:rPr>
      </w:pPr>
      <w:r>
        <w:rPr>
          <w:iCs/>
        </w:rPr>
        <w:t>All procedures for this round were done identical to the second. However, shorter primers were designed and used.</w:t>
      </w:r>
    </w:p>
    <w:p w:rsidR="00514BF5" w:rsidRDefault="00514BF5" w:rsidP="00DC1337">
      <w:pPr>
        <w:spacing w:line="480" w:lineRule="auto"/>
        <w:jc w:val="both"/>
        <w:rPr>
          <w:iCs/>
        </w:rPr>
      </w:pPr>
    </w:p>
    <w:p w:rsidR="00514BF5" w:rsidRDefault="008C1FDB" w:rsidP="00DC1337">
      <w:pPr>
        <w:spacing w:line="480" w:lineRule="auto"/>
        <w:jc w:val="both"/>
        <w:rPr>
          <w:iCs/>
        </w:rPr>
      </w:pPr>
      <w:r>
        <w:rPr>
          <w:i/>
          <w:iCs/>
        </w:rPr>
        <w:t>Triple Detergent Method</w:t>
      </w:r>
    </w:p>
    <w:p w:rsidR="00514BF5" w:rsidRDefault="00514BF5" w:rsidP="00DC1337">
      <w:pPr>
        <w:spacing w:line="480" w:lineRule="auto"/>
        <w:jc w:val="both"/>
        <w:rPr>
          <w:iCs/>
        </w:rPr>
      </w:pPr>
      <w:r w:rsidRPr="00514BF5">
        <w:rPr>
          <w:iCs/>
        </w:rPr>
        <w:t>For th</w:t>
      </w:r>
      <w:r w:rsidR="008C1FDB">
        <w:rPr>
          <w:iCs/>
        </w:rPr>
        <w:t>is</w:t>
      </w:r>
      <w:r w:rsidRPr="00514BF5">
        <w:rPr>
          <w:iCs/>
        </w:rPr>
        <w:t xml:space="preserve"> second method, the original pET28 plasmid was transformed into BL21-codonplus-DE3-RIPL </w:t>
      </w:r>
      <w:r w:rsidRPr="00514BF5">
        <w:rPr>
          <w:i/>
          <w:iCs/>
        </w:rPr>
        <w:t>E. coli</w:t>
      </w:r>
      <w:r w:rsidRPr="00514BF5">
        <w:rPr>
          <w:iCs/>
        </w:rPr>
        <w:t xml:space="preserve"> cells. </w:t>
      </w:r>
      <w:r>
        <w:rPr>
          <w:iCs/>
        </w:rPr>
        <w:t>The plasmid samples used were 7-16A and 10-7C. A negative control reaction (cells with no DNA</w:t>
      </w:r>
      <w:r w:rsidR="008B4D68">
        <w:rPr>
          <w:iCs/>
        </w:rPr>
        <w:t xml:space="preserve"> added</w:t>
      </w:r>
      <w:r>
        <w:rPr>
          <w:iCs/>
        </w:rPr>
        <w:t xml:space="preserve">) was set up as well. The same transformation procedure used for the PCR product was used for this method, kanamycin plates again used. </w:t>
      </w:r>
    </w:p>
    <w:p w:rsidR="00514BF5" w:rsidRDefault="00514BF5" w:rsidP="00DC1337">
      <w:pPr>
        <w:spacing w:line="480" w:lineRule="auto"/>
        <w:ind w:firstLine="288"/>
        <w:jc w:val="both"/>
        <w:rPr>
          <w:iCs/>
        </w:rPr>
      </w:pPr>
      <w:r>
        <w:rPr>
          <w:iCs/>
        </w:rPr>
        <w:t>From colonies produced on the 7-16A and 10-7C plates starter cultures we made by Dr. Kim Simons. Two liquid starter cultures were made from each plate</w:t>
      </w:r>
      <w:r w:rsidR="00F82829">
        <w:rPr>
          <w:iCs/>
        </w:rPr>
        <w:t>. F</w:t>
      </w:r>
      <w:r>
        <w:rPr>
          <w:iCs/>
        </w:rPr>
        <w:t xml:space="preserve">rom the starter cultures larger </w:t>
      </w:r>
      <w:r>
        <w:rPr>
          <w:iCs/>
        </w:rPr>
        <w:lastRenderedPageBreak/>
        <w:t xml:space="preserve">cultures were made, resulting in four large cultures of transformed </w:t>
      </w:r>
      <w:r w:rsidR="000E1647">
        <w:rPr>
          <w:iCs/>
        </w:rPr>
        <w:t>cells;</w:t>
      </w:r>
      <w:r w:rsidR="00F82829">
        <w:rPr>
          <w:iCs/>
        </w:rPr>
        <w:t xml:space="preserve"> 7-16A(1), 7-16A(2), 10-7C(1) and 10-7C(2). </w:t>
      </w:r>
      <w:r>
        <w:rPr>
          <w:iCs/>
        </w:rPr>
        <w:t>For both</w:t>
      </w:r>
      <w:r w:rsidR="00F82829">
        <w:rPr>
          <w:iCs/>
        </w:rPr>
        <w:t xml:space="preserve"> the starter and larger cultures</w:t>
      </w:r>
      <w:r>
        <w:rPr>
          <w:iCs/>
        </w:rPr>
        <w:t xml:space="preserve">, LB </w:t>
      </w:r>
      <w:r w:rsidR="000B1744">
        <w:rPr>
          <w:iCs/>
        </w:rPr>
        <w:t>media</w:t>
      </w:r>
      <w:r>
        <w:rPr>
          <w:iCs/>
        </w:rPr>
        <w:t xml:space="preserve"> was used.</w:t>
      </w:r>
    </w:p>
    <w:p w:rsidR="00343180" w:rsidRPr="00343180" w:rsidRDefault="00A97252" w:rsidP="00DC1337">
      <w:pPr>
        <w:spacing w:line="480" w:lineRule="auto"/>
        <w:ind w:firstLine="288"/>
        <w:jc w:val="both"/>
        <w:rPr>
          <w:iCs/>
        </w:rPr>
      </w:pPr>
      <w:r>
        <w:rPr>
          <w:iCs/>
        </w:rPr>
        <w:t xml:space="preserve">Once the larger cultures had been </w:t>
      </w:r>
      <w:r w:rsidR="000B1744">
        <w:rPr>
          <w:iCs/>
        </w:rPr>
        <w:t>allowed</w:t>
      </w:r>
      <w:r>
        <w:rPr>
          <w:iCs/>
        </w:rPr>
        <w:t xml:space="preserve"> to incubate, a sample from culture 7-16A</w:t>
      </w:r>
      <w:r w:rsidR="008B4D68">
        <w:rPr>
          <w:iCs/>
        </w:rPr>
        <w:t>(1)</w:t>
      </w:r>
      <w:r>
        <w:rPr>
          <w:iCs/>
        </w:rPr>
        <w:t xml:space="preserve"> was read </w:t>
      </w:r>
      <w:r w:rsidR="00F82829">
        <w:rPr>
          <w:iCs/>
        </w:rPr>
        <w:t>at 600 nm. Its OD was found to b</w:t>
      </w:r>
      <w:r>
        <w:rPr>
          <w:iCs/>
        </w:rPr>
        <w:t xml:space="preserve">e </w:t>
      </w:r>
      <w:r w:rsidR="00F82829">
        <w:rPr>
          <w:iCs/>
        </w:rPr>
        <w:t>0</w:t>
      </w:r>
      <w:r>
        <w:rPr>
          <w:iCs/>
        </w:rPr>
        <w:t xml:space="preserve">.135. LB media was used as a blank. To all four cultures IPTG was added, samples were taken before </w:t>
      </w:r>
      <w:r w:rsidR="00343180">
        <w:rPr>
          <w:iCs/>
        </w:rPr>
        <w:t xml:space="preserve">and after </w:t>
      </w:r>
      <w:r>
        <w:rPr>
          <w:iCs/>
        </w:rPr>
        <w:t>induction for SDS-PAGE analysis. Cells incubated at 27</w:t>
      </w:r>
      <w:r>
        <w:rPr>
          <w:rFonts w:cs="Times New Roman"/>
          <w:iCs/>
        </w:rPr>
        <w:t>º</w:t>
      </w:r>
      <w:r>
        <w:rPr>
          <w:iCs/>
        </w:rPr>
        <w:t xml:space="preserve">C, were removed and centrifuged by Dr. Kim Simons. Cell </w:t>
      </w:r>
      <w:r w:rsidR="00F82829">
        <w:rPr>
          <w:iCs/>
        </w:rPr>
        <w:t xml:space="preserve">pellets were stored in the </w:t>
      </w:r>
      <w:r>
        <w:rPr>
          <w:iCs/>
        </w:rPr>
        <w:t>freeze</w:t>
      </w:r>
      <w:r w:rsidR="00F82829">
        <w:rPr>
          <w:iCs/>
        </w:rPr>
        <w:t>r</w:t>
      </w:r>
      <w:r>
        <w:rPr>
          <w:iCs/>
        </w:rPr>
        <w:t xml:space="preserve">. </w:t>
      </w:r>
    </w:p>
    <w:p w:rsidR="00343180" w:rsidRDefault="00A97252" w:rsidP="00DC1337">
      <w:pPr>
        <w:spacing w:line="480" w:lineRule="auto"/>
        <w:ind w:firstLine="288"/>
        <w:jc w:val="both"/>
        <w:rPr>
          <w:iCs/>
        </w:rPr>
      </w:pPr>
      <w:r>
        <w:rPr>
          <w:iCs/>
        </w:rPr>
        <w:t>Frozen cell pellet from culture 7-</w:t>
      </w:r>
      <w:r w:rsidR="000B1744">
        <w:rPr>
          <w:iCs/>
        </w:rPr>
        <w:t>16A(</w:t>
      </w:r>
      <w:r>
        <w:rPr>
          <w:iCs/>
        </w:rPr>
        <w:t xml:space="preserve">1) was resuspended in </w:t>
      </w:r>
      <w:r w:rsidR="00F82829">
        <w:rPr>
          <w:iCs/>
        </w:rPr>
        <w:t>0</w:t>
      </w:r>
      <w:r>
        <w:rPr>
          <w:iCs/>
        </w:rPr>
        <w:t xml:space="preserve">.1M Tris and </w:t>
      </w:r>
      <w:r w:rsidR="00F82829">
        <w:rPr>
          <w:iCs/>
        </w:rPr>
        <w:t>0</w:t>
      </w:r>
      <w:r>
        <w:rPr>
          <w:iCs/>
        </w:rPr>
        <w:t xml:space="preserve">.5M NaCl. Cells were then </w:t>
      </w:r>
      <w:r w:rsidR="000B1744">
        <w:rPr>
          <w:iCs/>
        </w:rPr>
        <w:t>lysed</w:t>
      </w:r>
      <w:r>
        <w:rPr>
          <w:iCs/>
        </w:rPr>
        <w:t xml:space="preserve"> via sonicfication at 13 Watts for 30 seconds, three times. Two minute breaks were taken between each. After </w:t>
      </w:r>
      <w:r w:rsidR="000B1744">
        <w:rPr>
          <w:iCs/>
        </w:rPr>
        <w:t>sonification</w:t>
      </w:r>
      <w:r>
        <w:rPr>
          <w:iCs/>
        </w:rPr>
        <w:t xml:space="preserve">, </w:t>
      </w:r>
      <w:r w:rsidR="00F82829">
        <w:rPr>
          <w:iCs/>
        </w:rPr>
        <w:t xml:space="preserve">a </w:t>
      </w:r>
      <w:r>
        <w:rPr>
          <w:iCs/>
        </w:rPr>
        <w:t xml:space="preserve">sample was taken for SDS-PAGE. Resulting cell lysate was then divided into two samples. </w:t>
      </w:r>
      <w:r w:rsidR="00343180">
        <w:rPr>
          <w:iCs/>
        </w:rPr>
        <w:t xml:space="preserve">Both were centrifuged to remove cellular debris, and a sample was again taken. </w:t>
      </w:r>
    </w:p>
    <w:p w:rsidR="00A97252" w:rsidRDefault="00A97252" w:rsidP="00DC1337">
      <w:pPr>
        <w:spacing w:line="480" w:lineRule="auto"/>
        <w:ind w:firstLine="288"/>
        <w:jc w:val="both"/>
        <w:rPr>
          <w:iCs/>
        </w:rPr>
      </w:pPr>
      <w:r>
        <w:rPr>
          <w:iCs/>
        </w:rPr>
        <w:t>To the first, a solution of 10% sarkosyl was added. To the second a solution of 2% sarkosyl 2% triton X-100 and 2</w:t>
      </w:r>
      <w:r w:rsidR="00F82829">
        <w:rPr>
          <w:iCs/>
        </w:rPr>
        <w:t>0 mM CHAPS. Both solutions also contained</w:t>
      </w:r>
      <w:r>
        <w:rPr>
          <w:iCs/>
        </w:rPr>
        <w:t xml:space="preserve"> 50mM Tris 250mM NaCl. </w:t>
      </w:r>
      <w:r w:rsidR="00343180">
        <w:rPr>
          <w:iCs/>
        </w:rPr>
        <w:t xml:space="preserve">Both pellets were broken up after addition of the solutions and were again sonicated the same as before. After centrifugation, samples were taken from both. </w:t>
      </w:r>
    </w:p>
    <w:p w:rsidR="00DC1337" w:rsidRDefault="000B1744" w:rsidP="00C809BB">
      <w:pPr>
        <w:spacing w:line="480" w:lineRule="auto"/>
        <w:ind w:firstLine="288"/>
        <w:jc w:val="both"/>
        <w:rPr>
          <w:b/>
          <w:iCs/>
        </w:rPr>
      </w:pPr>
      <w:r>
        <w:rPr>
          <w:iCs/>
        </w:rPr>
        <w:t xml:space="preserve">Supernatant from the first centrifugation, pellets and supernatant from </w:t>
      </w:r>
      <w:r w:rsidR="00F82829">
        <w:rPr>
          <w:iCs/>
        </w:rPr>
        <w:t xml:space="preserve">the </w:t>
      </w:r>
      <w:r>
        <w:rPr>
          <w:iCs/>
        </w:rPr>
        <w:t xml:space="preserve">final centrifugation were saved. </w:t>
      </w:r>
      <w:r w:rsidR="008C1FDB">
        <w:rPr>
          <w:iCs/>
        </w:rPr>
        <w:t xml:space="preserve">All samples were run via SDS-PAGE. </w:t>
      </w:r>
    </w:p>
    <w:p w:rsidR="00DC1337" w:rsidRDefault="00DC1337" w:rsidP="00DC1337">
      <w:pPr>
        <w:spacing w:line="480" w:lineRule="auto"/>
        <w:jc w:val="both"/>
        <w:rPr>
          <w:b/>
          <w:iCs/>
        </w:rPr>
      </w:pPr>
    </w:p>
    <w:p w:rsidR="00343180" w:rsidRPr="00343180" w:rsidRDefault="00343180" w:rsidP="00DC1337">
      <w:pPr>
        <w:spacing w:line="480" w:lineRule="auto"/>
        <w:jc w:val="both"/>
        <w:rPr>
          <w:iCs/>
        </w:rPr>
      </w:pPr>
      <w:r>
        <w:rPr>
          <w:b/>
          <w:iCs/>
        </w:rPr>
        <w:t>Results</w:t>
      </w:r>
    </w:p>
    <w:p w:rsidR="00C809BB" w:rsidRDefault="00343180" w:rsidP="00DC1337">
      <w:pPr>
        <w:spacing w:line="480" w:lineRule="auto"/>
        <w:jc w:val="both"/>
        <w:rPr>
          <w:i/>
          <w:iCs/>
        </w:rPr>
      </w:pPr>
      <w:r>
        <w:rPr>
          <w:i/>
          <w:iCs/>
        </w:rPr>
        <w:t>Site-Directed Mutagenesis – 1</w:t>
      </w:r>
    </w:p>
    <w:p w:rsidR="00343180" w:rsidRPr="00514BF5" w:rsidRDefault="00343180" w:rsidP="00DC1337">
      <w:pPr>
        <w:spacing w:line="480" w:lineRule="auto"/>
        <w:jc w:val="both"/>
        <w:rPr>
          <w:iCs/>
        </w:rPr>
      </w:pPr>
      <w:r>
        <w:rPr>
          <w:iCs/>
        </w:rPr>
        <w:lastRenderedPageBreak/>
        <w:t xml:space="preserve">The size of pET28 is known, in the produced gel a large band should have been seen at the proper location. A large band corresponds to amplification. Such a band was only seen for the control reaction. </w:t>
      </w:r>
    </w:p>
    <w:p w:rsidR="00514BF5" w:rsidRDefault="00514BF5" w:rsidP="00DC1337">
      <w:pPr>
        <w:spacing w:line="480" w:lineRule="auto"/>
        <w:jc w:val="both"/>
        <w:rPr>
          <w:iCs/>
        </w:rPr>
      </w:pPr>
    </w:p>
    <w:p w:rsidR="00514BF5" w:rsidRDefault="00514BF5" w:rsidP="00DC1337">
      <w:pPr>
        <w:spacing w:line="480" w:lineRule="auto"/>
        <w:jc w:val="both"/>
        <w:rPr>
          <w:iCs/>
        </w:rPr>
      </w:pPr>
      <w:r>
        <w:rPr>
          <w:iCs/>
        </w:rPr>
        <w:t xml:space="preserve"> </w:t>
      </w:r>
      <w:r w:rsidR="00343180">
        <w:rPr>
          <w:i/>
          <w:iCs/>
        </w:rPr>
        <w:t>Site-Directed Mutagenesis –2</w:t>
      </w:r>
    </w:p>
    <w:p w:rsidR="00343180" w:rsidRDefault="00343180" w:rsidP="00DC1337">
      <w:pPr>
        <w:spacing w:line="480" w:lineRule="auto"/>
        <w:jc w:val="both"/>
        <w:rPr>
          <w:iCs/>
        </w:rPr>
      </w:pPr>
      <w:r>
        <w:rPr>
          <w:iCs/>
        </w:rPr>
        <w:t xml:space="preserve">Both the pET28 plasmid and the control </w:t>
      </w:r>
      <w:r w:rsidR="00F82829">
        <w:rPr>
          <w:iCs/>
        </w:rPr>
        <w:t xml:space="preserve">plasmid </w:t>
      </w:r>
      <w:r>
        <w:rPr>
          <w:iCs/>
        </w:rPr>
        <w:t xml:space="preserve">contain resistance genes for the corresponding antibiotic present in the media. Therefore, cells could only grow on this media if they received a plasmid during transformation. </w:t>
      </w:r>
      <w:r w:rsidR="008C1FDB">
        <w:rPr>
          <w:iCs/>
        </w:rPr>
        <w:t>Only the control reaction produced growth. The same results were seen in the third attempt</w:t>
      </w:r>
      <w:r w:rsidR="00C91A9D">
        <w:rPr>
          <w:iCs/>
        </w:rPr>
        <w:t>.</w:t>
      </w:r>
    </w:p>
    <w:p w:rsidR="008C1FDB" w:rsidRDefault="008C1FDB" w:rsidP="00DC1337">
      <w:pPr>
        <w:spacing w:line="480" w:lineRule="auto"/>
        <w:jc w:val="both"/>
        <w:rPr>
          <w:iCs/>
        </w:rPr>
      </w:pPr>
    </w:p>
    <w:p w:rsidR="004F6D89" w:rsidRDefault="008C1FDB" w:rsidP="00DC1337">
      <w:pPr>
        <w:spacing w:line="480" w:lineRule="auto"/>
        <w:jc w:val="both"/>
        <w:rPr>
          <w:i/>
          <w:iCs/>
        </w:rPr>
      </w:pPr>
      <w:r>
        <w:rPr>
          <w:i/>
          <w:iCs/>
        </w:rPr>
        <w:t>Triple Detergent Method</w:t>
      </w:r>
    </w:p>
    <w:p w:rsidR="001E4D9A" w:rsidRDefault="004F6D89" w:rsidP="00DC1337">
      <w:pPr>
        <w:spacing w:line="480" w:lineRule="auto"/>
        <w:jc w:val="both"/>
        <w:rPr>
          <w:iCs/>
          <w:vertAlign w:val="superscript"/>
        </w:rPr>
      </w:pPr>
      <w:r>
        <w:rPr>
          <w:iCs/>
        </w:rPr>
        <w:t xml:space="preserve">From FIGURE </w:t>
      </w:r>
      <w:r w:rsidR="00C86847">
        <w:rPr>
          <w:iCs/>
        </w:rPr>
        <w:t>2</w:t>
      </w:r>
      <w:r>
        <w:rPr>
          <w:iCs/>
        </w:rPr>
        <w:t xml:space="preserve"> it can be seen that there was slight production of our pro</w:t>
      </w:r>
      <w:r w:rsidR="004924FA">
        <w:rPr>
          <w:iCs/>
        </w:rPr>
        <w:t>tein before induction with IPTG,</w:t>
      </w:r>
      <w:r w:rsidR="00F82829">
        <w:rPr>
          <w:iCs/>
        </w:rPr>
        <w:t xml:space="preserve"> this is observed as faint bands in lanes 3-6.</w:t>
      </w:r>
      <w:r w:rsidR="004924FA">
        <w:rPr>
          <w:iCs/>
        </w:rPr>
        <w:t xml:space="preserve"> </w:t>
      </w:r>
      <w:r w:rsidR="00C91A9D">
        <w:rPr>
          <w:iCs/>
        </w:rPr>
        <w:t>Also, the</w:t>
      </w:r>
      <w:r w:rsidR="004924FA">
        <w:rPr>
          <w:iCs/>
        </w:rPr>
        <w:t xml:space="preserve"> 10-7C</w:t>
      </w:r>
      <w:r w:rsidR="00F82829">
        <w:rPr>
          <w:iCs/>
        </w:rPr>
        <w:t xml:space="preserve"> samples produc</w:t>
      </w:r>
      <w:r w:rsidR="00C91A9D">
        <w:rPr>
          <w:iCs/>
        </w:rPr>
        <w:t>ed</w:t>
      </w:r>
      <w:r w:rsidR="00F82829">
        <w:rPr>
          <w:iCs/>
        </w:rPr>
        <w:t xml:space="preserve"> </w:t>
      </w:r>
      <w:r w:rsidR="004924FA">
        <w:rPr>
          <w:iCs/>
        </w:rPr>
        <w:t xml:space="preserve"> more intense bands</w:t>
      </w:r>
      <w:r w:rsidR="00F82829">
        <w:rPr>
          <w:iCs/>
        </w:rPr>
        <w:t xml:space="preserve"> than the 7-16 samples</w:t>
      </w:r>
      <w:r w:rsidR="004924FA">
        <w:rPr>
          <w:iCs/>
        </w:rPr>
        <w:t>.</w:t>
      </w:r>
      <w:r>
        <w:rPr>
          <w:iCs/>
        </w:rPr>
        <w:t xml:space="preserve"> </w:t>
      </w:r>
      <w:r w:rsidR="00C86847">
        <w:rPr>
          <w:iCs/>
        </w:rPr>
        <w:t xml:space="preserve">However, more intense bands can be seen after induction. The most intense band can be seen from the sample taken from the </w:t>
      </w:r>
      <w:r w:rsidR="004924FA">
        <w:rPr>
          <w:iCs/>
        </w:rPr>
        <w:t>7-16A</w:t>
      </w:r>
      <w:r w:rsidR="00C86847">
        <w:rPr>
          <w:iCs/>
        </w:rPr>
        <w:t xml:space="preserve"> culture. This suggests tha</w:t>
      </w:r>
      <w:r w:rsidR="00C91A9D">
        <w:rPr>
          <w:iCs/>
        </w:rPr>
        <w:t>t this culture produced more</w:t>
      </w:r>
      <w:r w:rsidR="00C86847">
        <w:rPr>
          <w:iCs/>
        </w:rPr>
        <w:t xml:space="preserve"> Cdc14p</w:t>
      </w:r>
      <w:r w:rsidR="00C91A9D">
        <w:rPr>
          <w:iCs/>
        </w:rPr>
        <w:t xml:space="preserve"> than the 10-7C culture, after induction</w:t>
      </w:r>
      <w:r w:rsidR="00C86847">
        <w:rPr>
          <w:iCs/>
        </w:rPr>
        <w:t xml:space="preserve">. </w:t>
      </w:r>
      <w:r w:rsidR="000B1744">
        <w:rPr>
          <w:iCs/>
        </w:rPr>
        <w:t>All bands correspond to the location appropriate for Cdc14p relative to the protein markers, 62 kD.</w:t>
      </w:r>
      <w:r w:rsidR="008E7102">
        <w:rPr>
          <w:iCs/>
          <w:vertAlign w:val="superscript"/>
        </w:rPr>
        <w:t>1</w:t>
      </w:r>
    </w:p>
    <w:p w:rsidR="001E4D9A" w:rsidRDefault="00C86847" w:rsidP="00DC1337">
      <w:pPr>
        <w:spacing w:line="480" w:lineRule="auto"/>
        <w:ind w:firstLine="288"/>
        <w:jc w:val="both"/>
        <w:rPr>
          <w:iCs/>
        </w:rPr>
      </w:pPr>
      <w:r>
        <w:rPr>
          <w:iCs/>
        </w:rPr>
        <w:t>After induction, the cells were lysed and exposed to one of the two solutions</w:t>
      </w:r>
      <w:r w:rsidR="00C91A9D">
        <w:rPr>
          <w:iCs/>
        </w:rPr>
        <w:t>;</w:t>
      </w:r>
      <w:r>
        <w:rPr>
          <w:iCs/>
        </w:rPr>
        <w:t xml:space="preserve"> results seen in FIGURE 3. In lane 1, </w:t>
      </w:r>
      <w:r w:rsidR="00520CA2">
        <w:rPr>
          <w:iCs/>
        </w:rPr>
        <w:t>an intense band can be seen. This sample comes from the total cell lysate. From the sample taken after centrifugation a band can also be seen, although</w:t>
      </w:r>
      <w:r w:rsidR="005E5515">
        <w:rPr>
          <w:iCs/>
        </w:rPr>
        <w:t xml:space="preserve"> it is not as intense as lane 1</w:t>
      </w:r>
      <w:r w:rsidR="00520CA2">
        <w:rPr>
          <w:iCs/>
        </w:rPr>
        <w:t xml:space="preserve">. </w:t>
      </w:r>
      <w:r w:rsidR="005871AF">
        <w:rPr>
          <w:iCs/>
        </w:rPr>
        <w:t>When comparing lane</w:t>
      </w:r>
      <w:r w:rsidR="00F82829">
        <w:rPr>
          <w:iCs/>
        </w:rPr>
        <w:t>s</w:t>
      </w:r>
      <w:r w:rsidR="005871AF">
        <w:rPr>
          <w:iCs/>
        </w:rPr>
        <w:t xml:space="preserve"> 4 and 5, a</w:t>
      </w:r>
      <w:r w:rsidR="00520CA2">
        <w:rPr>
          <w:iCs/>
        </w:rPr>
        <w:t xml:space="preserve"> more intense band can be seen from the sample taken from the cells that were exposed to the 10% solution. </w:t>
      </w:r>
      <w:r w:rsidR="003B320F">
        <w:rPr>
          <w:iCs/>
        </w:rPr>
        <w:t xml:space="preserve">It was also noted that after the final </w:t>
      </w:r>
      <w:r w:rsidR="003B320F">
        <w:rPr>
          <w:iCs/>
        </w:rPr>
        <w:lastRenderedPageBreak/>
        <w:t xml:space="preserve">centrifugation, the pellet formed from the sampled containing only 10% sarkosyl was much more </w:t>
      </w:r>
      <w:r w:rsidR="000B1744">
        <w:rPr>
          <w:iCs/>
        </w:rPr>
        <w:t>solubilzed</w:t>
      </w:r>
      <w:r w:rsidR="003B320F">
        <w:rPr>
          <w:iCs/>
        </w:rPr>
        <w:t xml:space="preserve">. </w:t>
      </w:r>
    </w:p>
    <w:p w:rsidR="003428A4" w:rsidRDefault="003822EA" w:rsidP="00DC1337">
      <w:pPr>
        <w:spacing w:line="480" w:lineRule="auto"/>
        <w:ind w:firstLine="288"/>
        <w:jc w:val="both"/>
        <w:rPr>
          <w:iCs/>
        </w:rPr>
      </w:pPr>
      <w:r>
        <w:rPr>
          <w:iCs/>
          <w:noProof/>
        </w:rPr>
        <w:pict>
          <v:shape id="_x0000_s1039" type="#_x0000_t202" style="position:absolute;left:0;text-align:left;margin-left:-1.1pt;margin-top:207.75pt;width:217.3pt;height:53.95pt;z-index:-251636736;mso-height-percent:200;mso-height-percent:200;mso-width-relative:margin;mso-height-relative:margin" wrapcoords="-74 -300 -74 21300 21674 21300 21674 -300 -74 -300" strokecolor="white [3212]">
            <v:textbox style="mso-next-textbox:#_x0000_s1039;mso-fit-shape-to-text:t">
              <w:txbxContent>
                <w:p w:rsidR="00A430B3" w:rsidRPr="00DE4E0F" w:rsidRDefault="00A430B3" w:rsidP="00A430B3">
                  <w:pPr>
                    <w:jc w:val="both"/>
                    <w:rPr>
                      <w:sz w:val="16"/>
                      <w:szCs w:val="16"/>
                    </w:rPr>
                  </w:pPr>
                  <w:r w:rsidRPr="00DE4E0F">
                    <w:rPr>
                      <w:b/>
                      <w:sz w:val="16"/>
                      <w:szCs w:val="16"/>
                    </w:rPr>
                    <w:t xml:space="preserve">FIGURE 2. </w:t>
                  </w:r>
                  <w:r w:rsidRPr="00DE4E0F">
                    <w:rPr>
                      <w:sz w:val="16"/>
                      <w:szCs w:val="16"/>
                    </w:rPr>
                    <w:t xml:space="preserve"> Gel from samples taken before and after induction with IPTG. Lane 1- protein markers, lane 2- skipped, lane 3- 7</w:t>
                  </w:r>
                  <w:r>
                    <w:rPr>
                      <w:sz w:val="16"/>
                      <w:szCs w:val="16"/>
                    </w:rPr>
                    <w:t>-</w:t>
                  </w:r>
                  <w:r w:rsidRPr="00DE4E0F">
                    <w:rPr>
                      <w:sz w:val="16"/>
                      <w:szCs w:val="16"/>
                    </w:rPr>
                    <w:t>16A(1), lane 4- 7</w:t>
                  </w:r>
                  <w:r>
                    <w:rPr>
                      <w:sz w:val="16"/>
                      <w:szCs w:val="16"/>
                    </w:rPr>
                    <w:t>-</w:t>
                  </w:r>
                  <w:r w:rsidRPr="00DE4E0F">
                    <w:rPr>
                      <w:sz w:val="16"/>
                      <w:szCs w:val="16"/>
                    </w:rPr>
                    <w:t>16A(2), lane 5- 10</w:t>
                  </w:r>
                  <w:r>
                    <w:rPr>
                      <w:sz w:val="16"/>
                      <w:szCs w:val="16"/>
                    </w:rPr>
                    <w:t>-</w:t>
                  </w:r>
                  <w:r w:rsidRPr="00DE4E0F">
                    <w:rPr>
                      <w:sz w:val="16"/>
                      <w:szCs w:val="16"/>
                    </w:rPr>
                    <w:t>7C(1), lane 6- 10</w:t>
                  </w:r>
                  <w:r>
                    <w:rPr>
                      <w:sz w:val="16"/>
                      <w:szCs w:val="16"/>
                    </w:rPr>
                    <w:t>-</w:t>
                  </w:r>
                  <w:r w:rsidRPr="00DE4E0F">
                    <w:rPr>
                      <w:sz w:val="16"/>
                      <w:szCs w:val="16"/>
                    </w:rPr>
                    <w:t>7C(2), lane 7- 7</w:t>
                  </w:r>
                  <w:r>
                    <w:rPr>
                      <w:sz w:val="16"/>
                      <w:szCs w:val="16"/>
                    </w:rPr>
                    <w:t>-</w:t>
                  </w:r>
                  <w:r w:rsidRPr="00DE4E0F">
                    <w:rPr>
                      <w:sz w:val="16"/>
                      <w:szCs w:val="16"/>
                    </w:rPr>
                    <w:t>16</w:t>
                  </w:r>
                  <w:r w:rsidR="0065172C">
                    <w:rPr>
                      <w:sz w:val="16"/>
                      <w:szCs w:val="16"/>
                    </w:rPr>
                    <w:t>A</w:t>
                  </w:r>
                  <w:r w:rsidRPr="00DE4E0F">
                    <w:rPr>
                      <w:sz w:val="16"/>
                      <w:szCs w:val="16"/>
                    </w:rPr>
                    <w:t xml:space="preserve"> after induction, lane 8- 10</w:t>
                  </w:r>
                  <w:r>
                    <w:rPr>
                      <w:sz w:val="16"/>
                      <w:szCs w:val="16"/>
                    </w:rPr>
                    <w:t>-</w:t>
                  </w:r>
                  <w:r w:rsidRPr="00DE4E0F">
                    <w:rPr>
                      <w:sz w:val="16"/>
                      <w:szCs w:val="16"/>
                    </w:rPr>
                    <w:t>7</w:t>
                  </w:r>
                  <w:r w:rsidR="0065172C">
                    <w:rPr>
                      <w:sz w:val="16"/>
                      <w:szCs w:val="16"/>
                    </w:rPr>
                    <w:t>C</w:t>
                  </w:r>
                  <w:r w:rsidRPr="00DE4E0F">
                    <w:rPr>
                      <w:sz w:val="16"/>
                      <w:szCs w:val="16"/>
                    </w:rPr>
                    <w:t xml:space="preserve"> after induction.</w:t>
                  </w:r>
                  <w:r>
                    <w:rPr>
                      <w:sz w:val="16"/>
                      <w:szCs w:val="16"/>
                    </w:rPr>
                    <w:t xml:space="preserve"> Relative size of Cdc14p is marked.</w:t>
                  </w:r>
                </w:p>
              </w:txbxContent>
            </v:textbox>
            <w10:wrap type="square"/>
          </v:shape>
        </w:pict>
      </w:r>
      <w:r w:rsidR="001E4D9A" w:rsidRPr="001E4D9A">
        <w:rPr>
          <w:iCs/>
          <w:noProof/>
        </w:rPr>
        <w:drawing>
          <wp:anchor distT="0" distB="0" distL="114300" distR="114300" simplePos="0" relativeHeight="251688960" behindDoc="0" locked="0" layoutInCell="1" allowOverlap="1">
            <wp:simplePos x="0" y="0"/>
            <wp:positionH relativeFrom="column">
              <wp:posOffset>19050</wp:posOffset>
            </wp:positionH>
            <wp:positionV relativeFrom="paragraph">
              <wp:posOffset>0</wp:posOffset>
            </wp:positionV>
            <wp:extent cx="2743200" cy="2571750"/>
            <wp:effectExtent l="19050" t="0" r="0" b="0"/>
            <wp:wrapSquare wrapText="bothSides"/>
            <wp:docPr id="17" name="Picture 1" descr="C:\Documents and Settings\etorres\My Documents\My Pictures\G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orres\My Documents\My Pictures\Gel1.gif"/>
                    <pic:cNvPicPr>
                      <a:picLocks noChangeAspect="1" noChangeArrowheads="1"/>
                    </pic:cNvPicPr>
                  </pic:nvPicPr>
                  <pic:blipFill>
                    <a:blip r:embed="rId9" cstate="print"/>
                    <a:srcRect/>
                    <a:stretch>
                      <a:fillRect/>
                    </a:stretch>
                  </pic:blipFill>
                  <pic:spPr bwMode="auto">
                    <a:xfrm>
                      <a:off x="0" y="0"/>
                      <a:ext cx="2743200" cy="2571750"/>
                    </a:xfrm>
                    <a:prstGeom prst="rect">
                      <a:avLst/>
                    </a:prstGeom>
                    <a:noFill/>
                    <a:ln w="9525">
                      <a:noFill/>
                      <a:miter lim="800000"/>
                      <a:headEnd/>
                      <a:tailEnd/>
                    </a:ln>
                  </pic:spPr>
                </pic:pic>
              </a:graphicData>
            </a:graphic>
          </wp:anchor>
        </w:drawing>
      </w:r>
    </w:p>
    <w:p w:rsidR="003B320F" w:rsidRDefault="003822EA" w:rsidP="00DC1337">
      <w:pPr>
        <w:spacing w:line="480" w:lineRule="auto"/>
      </w:pPr>
      <w:r w:rsidRPr="003822EA">
        <w:rPr>
          <w:iCs/>
          <w:noProof/>
          <w:lang w:eastAsia="zh-TW"/>
        </w:rPr>
        <w:pict>
          <v:shape id="_x0000_s1030" type="#_x0000_t32" style="position:absolute;margin-left:-41.55pt;margin-top:23.25pt;width:31.65pt;height:.05pt;flip:x;z-index:251691008" o:connectortype="straight" wrapcoords="34 3 1 5 1 8 34 10 38 10 43 9 43 6 38 3 34 3" strokeweight="2pt">
            <v:stroke endarrow="block"/>
          </v:shape>
        </w:pict>
      </w:r>
      <w:r w:rsidR="003B320F">
        <w:rPr>
          <w:b/>
        </w:rPr>
        <w:t>Discussion</w:t>
      </w:r>
    </w:p>
    <w:p w:rsidR="003B320F" w:rsidRDefault="003822EA" w:rsidP="00DC1337">
      <w:pPr>
        <w:spacing w:line="480" w:lineRule="auto"/>
        <w:jc w:val="both"/>
      </w:pPr>
      <w:r w:rsidRPr="003822EA">
        <w:rPr>
          <w:iCs/>
          <w:noProof/>
        </w:rPr>
        <w:pict>
          <v:shape id="_x0000_s1043" type="#_x0000_t32" style="position:absolute;left:0;text-align:left;margin-left:-60.25pt;margin-top:251.4pt;width:33.15pt;height:.05pt;flip:x;z-index:251686912" o:connectortype="straight" strokeweight="2pt">
            <v:stroke endarrow="block"/>
          </v:shape>
        </w:pict>
      </w:r>
      <w:r w:rsidRPr="003822EA">
        <w:rPr>
          <w:iCs/>
          <w:noProof/>
        </w:rPr>
        <w:pict>
          <v:shape id="_x0000_s1040" type="#_x0000_t202" style="position:absolute;left:0;text-align:left;margin-left:-218.6pt;margin-top:369.55pt;width:200.4pt;height:72.35pt;z-index:-251633664;mso-height-percent:200;mso-height-percent:200;mso-width-relative:margin;mso-height-relative:margin" wrapcoords="-81 -225 -81 21375 21681 21375 21681 -225 -81 -225" strokecolor="white [3212]">
            <v:textbox style="mso-next-textbox:#_x0000_s1040;mso-fit-shape-to-text:t">
              <w:txbxContent>
                <w:p w:rsidR="00D80867" w:rsidRPr="004F6D89" w:rsidRDefault="00D80867" w:rsidP="00D80867">
                  <w:pPr>
                    <w:jc w:val="both"/>
                    <w:rPr>
                      <w:sz w:val="16"/>
                      <w:szCs w:val="16"/>
                    </w:rPr>
                  </w:pPr>
                  <w:r w:rsidRPr="004F6D89">
                    <w:rPr>
                      <w:b/>
                      <w:sz w:val="16"/>
                      <w:szCs w:val="16"/>
                    </w:rPr>
                    <w:t>FIGURE 3.</w:t>
                  </w:r>
                  <w:r w:rsidRPr="004F6D89">
                    <w:rPr>
                      <w:sz w:val="16"/>
                      <w:szCs w:val="16"/>
                    </w:rPr>
                    <w:t xml:space="preserve"> Gel from samples taken through</w:t>
                  </w:r>
                  <w:r>
                    <w:rPr>
                      <w:sz w:val="16"/>
                      <w:szCs w:val="16"/>
                    </w:rPr>
                    <w:t>out the triple detergent process</w:t>
                  </w:r>
                  <w:r w:rsidRPr="004F6D89">
                    <w:rPr>
                      <w:sz w:val="16"/>
                      <w:szCs w:val="16"/>
                    </w:rPr>
                    <w:t>. Lane 1- protein markers, lane 2- after sonification (total cell lysate), lane 3- after centrifugation to remov</w:t>
                  </w:r>
                  <w:r>
                    <w:rPr>
                      <w:sz w:val="16"/>
                      <w:szCs w:val="16"/>
                    </w:rPr>
                    <w:t xml:space="preserve">e cellular debris, lane 4- </w:t>
                  </w:r>
                  <w:r w:rsidRPr="004F6D89">
                    <w:rPr>
                      <w:sz w:val="16"/>
                      <w:szCs w:val="16"/>
                    </w:rPr>
                    <w:t>cells introduced to the 10% sarkosyl solution, after final sonification a</w:t>
                  </w:r>
                  <w:r>
                    <w:rPr>
                      <w:sz w:val="16"/>
                      <w:szCs w:val="16"/>
                    </w:rPr>
                    <w:t xml:space="preserve">nd centrifugation, lane 5- </w:t>
                  </w:r>
                  <w:r w:rsidRPr="004F6D89">
                    <w:rPr>
                      <w:sz w:val="16"/>
                      <w:szCs w:val="16"/>
                    </w:rPr>
                    <w:t>cells introduc</w:t>
                  </w:r>
                  <w:r>
                    <w:rPr>
                      <w:sz w:val="16"/>
                      <w:szCs w:val="16"/>
                    </w:rPr>
                    <w:t xml:space="preserve">ed to triple detergent solution, also </w:t>
                  </w:r>
                  <w:r w:rsidRPr="004F6D89">
                    <w:rPr>
                      <w:sz w:val="16"/>
                      <w:szCs w:val="16"/>
                    </w:rPr>
                    <w:t>after final sonification a</w:t>
                  </w:r>
                  <w:r>
                    <w:rPr>
                      <w:sz w:val="16"/>
                      <w:szCs w:val="16"/>
                    </w:rPr>
                    <w:t>nd centrifugation.</w:t>
                  </w:r>
                </w:p>
              </w:txbxContent>
            </v:textbox>
            <w10:wrap type="square"/>
          </v:shape>
        </w:pict>
      </w:r>
      <w:r w:rsidR="00DC1337">
        <w:rPr>
          <w:iCs/>
          <w:noProof/>
        </w:rPr>
        <w:drawing>
          <wp:anchor distT="0" distB="0" distL="114300" distR="114300" simplePos="0" relativeHeight="251681792" behindDoc="0" locked="0" layoutInCell="1" allowOverlap="1">
            <wp:simplePos x="0" y="0"/>
            <wp:positionH relativeFrom="column">
              <wp:posOffset>-2628900</wp:posOffset>
            </wp:positionH>
            <wp:positionV relativeFrom="paragraph">
              <wp:posOffset>2697480</wp:posOffset>
            </wp:positionV>
            <wp:extent cx="2266950" cy="1924050"/>
            <wp:effectExtent l="19050" t="0" r="0" b="0"/>
            <wp:wrapSquare wrapText="bothSides"/>
            <wp:docPr id="15" name="Picture 2" descr="C:\Documents and Settings\etorres\Local Setting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orres\Local Settings\Temporary Internet Files\Content.Word\New Picture.png"/>
                    <pic:cNvPicPr>
                      <a:picLocks noChangeAspect="1" noChangeArrowheads="1"/>
                    </pic:cNvPicPr>
                  </pic:nvPicPr>
                  <pic:blipFill>
                    <a:blip r:embed="rId10" cstate="print"/>
                    <a:srcRect/>
                    <a:stretch>
                      <a:fillRect/>
                    </a:stretch>
                  </pic:blipFill>
                  <pic:spPr bwMode="auto">
                    <a:xfrm>
                      <a:off x="0" y="0"/>
                      <a:ext cx="2266950" cy="1924050"/>
                    </a:xfrm>
                    <a:prstGeom prst="rect">
                      <a:avLst/>
                    </a:prstGeom>
                    <a:noFill/>
                    <a:ln w="9525">
                      <a:noFill/>
                      <a:miter lim="800000"/>
                      <a:headEnd/>
                      <a:tailEnd/>
                    </a:ln>
                  </pic:spPr>
                </pic:pic>
              </a:graphicData>
            </a:graphic>
          </wp:anchor>
        </w:drawing>
      </w:r>
      <w:r w:rsidRPr="003822EA">
        <w:rPr>
          <w:iCs/>
          <w:noProof/>
          <w:lang w:eastAsia="zh-TW"/>
        </w:rPr>
        <w:pict>
          <v:shape id="_x0000_s1032" type="#_x0000_t32" style="position:absolute;left:0;text-align:left;margin-left:203.1pt;margin-top:-482.15pt;width:33.15pt;height:.05pt;flip:x;z-index:251689984;mso-position-horizontal-relative:text;mso-position-vertical-relative:text" o:connectortype="straight" strokeweight="2pt">
            <v:stroke endarrow="block"/>
          </v:shape>
        </w:pict>
      </w:r>
      <w:r w:rsidR="005652D1">
        <w:t xml:space="preserve">After the first round of PCR was found to be unsuccessful, a lower annealing temperature was used to help with primer binding. During PCR, the annealing cycle is when the primers bind to the denatured template DNA. </w:t>
      </w:r>
      <w:r w:rsidR="005652D1" w:rsidRPr="005871AF">
        <w:t>The temperature at which this cycle occurs is dictated by the length of the primers, or by their cor</w:t>
      </w:r>
      <w:r w:rsidR="00F82829">
        <w:t>responding melting temperature.</w:t>
      </w:r>
      <w:r w:rsidR="005652D1">
        <w:t xml:space="preserve"> The temperature must be high enough so that the primers bind specifically, but if it is too high the primers will not bind at all. </w:t>
      </w:r>
      <w:r w:rsidR="000B1744">
        <w:t xml:space="preserve">If there is no binding, then there is absolutely no amplification. </w:t>
      </w:r>
      <w:r w:rsidR="005652D1">
        <w:t xml:space="preserve">That is what we saw after the first round of PCR. Since, the control reaction produced amplification, obviously the annealing temperature was appropriate for the control primers. </w:t>
      </w:r>
    </w:p>
    <w:p w:rsidR="005652D1" w:rsidRDefault="005652D1" w:rsidP="00DC1337">
      <w:pPr>
        <w:spacing w:line="480" w:lineRule="auto"/>
        <w:ind w:firstLine="288"/>
        <w:jc w:val="both"/>
      </w:pPr>
      <w:r>
        <w:t xml:space="preserve">For the final PCR attempt shorter primers were used to also help with binding. Sometimes after unsuccessful </w:t>
      </w:r>
      <w:r w:rsidR="00F82829">
        <w:t>PCR</w:t>
      </w:r>
      <w:r>
        <w:t xml:space="preserve">, simply shortening the primers can produce amplification. It is thought that perhaps when primers reach a certain length </w:t>
      </w:r>
      <w:r>
        <w:lastRenderedPageBreak/>
        <w:t>they begin to form secondary structure. If this</w:t>
      </w:r>
      <w:r w:rsidR="005E5515">
        <w:t xml:space="preserve"> occurs, they of course can</w:t>
      </w:r>
      <w:r>
        <w:t>not bind to the template DNA and no amplification occurs</w:t>
      </w:r>
      <w:r w:rsidR="005E5515">
        <w:t xml:space="preserve">. </w:t>
      </w:r>
    </w:p>
    <w:p w:rsidR="005E5515" w:rsidRDefault="005E5515" w:rsidP="00DC1337">
      <w:pPr>
        <w:spacing w:line="480" w:lineRule="auto"/>
        <w:ind w:firstLine="288"/>
        <w:jc w:val="both"/>
      </w:pPr>
      <w:r>
        <w:t>In both PCR</w:t>
      </w:r>
      <w:r w:rsidR="00F82829">
        <w:t xml:space="preserve"> trails</w:t>
      </w:r>
      <w:r>
        <w:t xml:space="preserve"> </w:t>
      </w:r>
      <w:r w:rsidR="0065172C">
        <w:t>2</w:t>
      </w:r>
      <w:r>
        <w:t xml:space="preserve"> and </w:t>
      </w:r>
      <w:r w:rsidR="0065172C">
        <w:t>3</w:t>
      </w:r>
      <w:r>
        <w:t xml:space="preserve">, verification of amplification was done via transformation; </w:t>
      </w:r>
      <w:r w:rsidR="00F82829">
        <w:t xml:space="preserve">with </w:t>
      </w:r>
      <w:r>
        <w:t xml:space="preserve">selection of transformants by antibiotic resistance. The only way a cell could grow on the media was if it received plasmid with the corresponding antibiotic resistance gene. Complete lack of growth means that there was no amplification and no plasmid to be transformed into the cells in the first place. This is what was seen for all experimental samples. For all three attempts, PCR was unsuccessful. </w:t>
      </w:r>
    </w:p>
    <w:p w:rsidR="009C5F90" w:rsidRDefault="009C5F90" w:rsidP="00DC1337">
      <w:pPr>
        <w:spacing w:line="480" w:lineRule="auto"/>
        <w:ind w:firstLine="288"/>
        <w:jc w:val="both"/>
      </w:pPr>
      <w:r>
        <w:t xml:space="preserve">From the results seen in FIGURE </w:t>
      </w:r>
      <w:r w:rsidR="00F82829">
        <w:t>2</w:t>
      </w:r>
      <w:r>
        <w:t xml:space="preserve">, it could be said that the pET28 plasmid from the </w:t>
      </w:r>
      <w:r w:rsidR="004924FA">
        <w:t>7-16A</w:t>
      </w:r>
      <w:r>
        <w:t xml:space="preserve"> sample </w:t>
      </w:r>
      <w:r w:rsidR="0065172C">
        <w:t>had</w:t>
      </w:r>
      <w:r>
        <w:t xml:space="preserve"> better expression of Cdc14</w:t>
      </w:r>
      <w:r w:rsidR="00F82829">
        <w:t>p</w:t>
      </w:r>
      <w:r>
        <w:t xml:space="preserve">. </w:t>
      </w:r>
      <w:r w:rsidR="004924FA">
        <w:t xml:space="preserve">Any </w:t>
      </w:r>
      <w:r w:rsidR="000B1744">
        <w:t xml:space="preserve">difference between the 7-16 and 10-7 </w:t>
      </w:r>
      <w:r w:rsidR="00F82829">
        <w:t xml:space="preserve">plasmid </w:t>
      </w:r>
      <w:r w:rsidR="000B1744">
        <w:t>samples is</w:t>
      </w:r>
      <w:r w:rsidR="004924FA">
        <w:t xml:space="preserve"> not known. They were prepared previously by Dr. Kim Simons when he was able to clone CDC14 into pET28. From this figure it can be observed that addition of IPTG induced expression of Cdc14p. </w:t>
      </w:r>
      <w:r w:rsidR="00F82829">
        <w:t>However, a</w:t>
      </w:r>
      <w:r w:rsidR="004924FA">
        <w:t xml:space="preserve">ll four samples </w:t>
      </w:r>
      <w:r w:rsidR="00F82829">
        <w:t xml:space="preserve">taken before induction produced </w:t>
      </w:r>
      <w:r w:rsidR="004924FA">
        <w:t>visible bands at the location where Cdc14p is expected to be. The 10-7C samples ha</w:t>
      </w:r>
      <w:r w:rsidR="0065172C">
        <w:t>ving more intense bands; t</w:t>
      </w:r>
      <w:r w:rsidR="004924FA">
        <w:t xml:space="preserve">his could correspond to “leaky” expression from the operon contained in the 10-7C </w:t>
      </w:r>
      <w:r w:rsidR="00687E4D">
        <w:t xml:space="preserve">pET28 plasmid. </w:t>
      </w:r>
    </w:p>
    <w:p w:rsidR="00F82829" w:rsidRDefault="005871AF" w:rsidP="00DC1337">
      <w:pPr>
        <w:spacing w:line="480" w:lineRule="auto"/>
        <w:ind w:firstLine="288"/>
        <w:jc w:val="both"/>
      </w:pPr>
      <w:r>
        <w:t>Culture 7-16A(</w:t>
      </w:r>
      <w:r w:rsidR="009A0384">
        <w:t>1) was chosen to be centrifuged;</w:t>
      </w:r>
      <w:r>
        <w:t xml:space="preserve"> the cells resuspended, lysed and then exposed to one of </w:t>
      </w:r>
      <w:r w:rsidR="00F82829">
        <w:t xml:space="preserve">the </w:t>
      </w:r>
      <w:r>
        <w:t xml:space="preserve">two </w:t>
      </w:r>
      <w:r w:rsidR="00F82829">
        <w:t xml:space="preserve">detergent </w:t>
      </w:r>
      <w:r>
        <w:t xml:space="preserve">solutions. Results can be seen in FIGURE 3. </w:t>
      </w:r>
      <w:r w:rsidR="00F82829">
        <w:t>There are</w:t>
      </w:r>
      <w:r w:rsidR="000B1744">
        <w:t xml:space="preserve"> many protein bands in the lane corresponding to the cellular lysate, lane 2. </w:t>
      </w:r>
      <w:r w:rsidR="005E559E">
        <w:t xml:space="preserve">This means that lysis was achieved. Also an intense band is seen at location relative to the size of Cdc14p. We did not expect to see this same band in lane 3. At this point the supernatant contains soluble proteins; previous expression of Cdc14p produced insoluble protein. A different host stain of </w:t>
      </w:r>
      <w:r w:rsidR="005E559E">
        <w:rPr>
          <w:i/>
        </w:rPr>
        <w:t>E. coli</w:t>
      </w:r>
      <w:r w:rsidR="005E559E">
        <w:t xml:space="preserve"> was used for </w:t>
      </w:r>
      <w:r w:rsidR="005E559E">
        <w:lastRenderedPageBreak/>
        <w:t xml:space="preserve">transformation in our procedures than was in the previous research. Perhaps some unknown differing component between cells types is affecting protein folding. </w:t>
      </w:r>
    </w:p>
    <w:p w:rsidR="005871AF" w:rsidRDefault="005E559E" w:rsidP="00DC1337">
      <w:pPr>
        <w:spacing w:line="480" w:lineRule="auto"/>
        <w:ind w:firstLine="288"/>
        <w:jc w:val="both"/>
      </w:pPr>
      <w:r>
        <w:t>Our second unexpected result is the band seen in lane 4. The band is more intense than the corresponding one in lane 5. Research stated that a high</w:t>
      </w:r>
      <w:r w:rsidR="00F82829">
        <w:t>er</w:t>
      </w:r>
      <w:r>
        <w:t xml:space="preserve"> quantity of soluble proteins could be extracted from cells that were exposed to the triple detergent solution than </w:t>
      </w:r>
      <w:r w:rsidR="00F82829">
        <w:t xml:space="preserve">those exposed to </w:t>
      </w:r>
      <w:r>
        <w:t xml:space="preserve">just the 10% sarkosyl solution. Our results are opposite of this. </w:t>
      </w:r>
    </w:p>
    <w:p w:rsidR="005E559E" w:rsidRDefault="005E559E" w:rsidP="00DC1337">
      <w:pPr>
        <w:spacing w:line="480" w:lineRule="auto"/>
        <w:jc w:val="both"/>
      </w:pPr>
    </w:p>
    <w:p w:rsidR="005E559E" w:rsidRDefault="005E559E" w:rsidP="00DC1337">
      <w:pPr>
        <w:spacing w:line="480" w:lineRule="auto"/>
        <w:jc w:val="both"/>
      </w:pPr>
      <w:r>
        <w:rPr>
          <w:b/>
        </w:rPr>
        <w:t>Conclusion</w:t>
      </w:r>
    </w:p>
    <w:p w:rsidR="005E559E" w:rsidRDefault="005E559E" w:rsidP="00DC1337">
      <w:pPr>
        <w:spacing w:line="480" w:lineRule="auto"/>
        <w:jc w:val="both"/>
      </w:pPr>
      <w:r>
        <w:t>Upon receiving soluble expression of Cdc14</w:t>
      </w:r>
      <w:r w:rsidR="00F82829">
        <w:t>p</w:t>
      </w:r>
      <w:r>
        <w:t>, we will next test for activity. Soluble expression corresponds to proper protein folding, however, extracted soluble proteins can still in inactive. The first assay used will be the phosphatase assay. Cdc14p will be incubated with para-nitro-phosphate, a naturally colorless compound. If Cdc14p is able to remove the phosphate group, producing para-</w:t>
      </w:r>
      <w:r w:rsidR="000E1647">
        <w:t>nitro</w:t>
      </w:r>
      <w:r>
        <w:t xml:space="preserve">-phenol, a yellow color change will be seen. To ensure that our extracted protein can work on peptides and not just small compounds, a second assay will be done. This </w:t>
      </w:r>
      <w:r w:rsidR="00CE35C7">
        <w:t>involves the incubation of Cdc14p with small peptides that have had phosphate groups attached.</w:t>
      </w:r>
    </w:p>
    <w:p w:rsidR="00CE35C7" w:rsidRDefault="00CE35C7" w:rsidP="00DC1337">
      <w:pPr>
        <w:spacing w:line="480" w:lineRule="auto"/>
        <w:ind w:firstLine="288"/>
        <w:jc w:val="both"/>
      </w:pPr>
      <w:r>
        <w:t xml:space="preserve">Once enzymatic activity is verified, the </w:t>
      </w:r>
      <w:r w:rsidR="000B1744">
        <w:t>specificity</w:t>
      </w:r>
      <w:r>
        <w:t xml:space="preserve"> of Cdc14p will be examined. </w:t>
      </w:r>
      <w:r w:rsidR="000B1744">
        <w:rPr>
          <w:i/>
        </w:rPr>
        <w:t>In vitro</w:t>
      </w:r>
      <w:r w:rsidR="000B1744">
        <w:t xml:space="preserve">, kinases have been observed to be very specific. </w:t>
      </w:r>
      <w:r>
        <w:t xml:space="preserve">The same </w:t>
      </w:r>
      <w:r w:rsidR="000B1744">
        <w:t>cannot</w:t>
      </w:r>
      <w:r>
        <w:t xml:space="preserve"> be said for </w:t>
      </w:r>
      <w:r w:rsidR="000B1744">
        <w:t>phosphatases</w:t>
      </w:r>
      <w:r>
        <w:t xml:space="preserve">, </w:t>
      </w:r>
      <w:r w:rsidR="00FA6B9F">
        <w:t>which</w:t>
      </w:r>
      <w:r>
        <w:t xml:space="preserve"> dephosphorylate a wide variety of targets</w:t>
      </w:r>
      <w:r w:rsidR="00FA6B9F">
        <w:t xml:space="preserve"> in vitro</w:t>
      </w:r>
      <w:r>
        <w:t xml:space="preserve">. It is thought that there is something in the cell that is guiding Cdc14p. </w:t>
      </w:r>
      <w:r>
        <w:rPr>
          <w:i/>
        </w:rPr>
        <w:t>In vitro</w:t>
      </w:r>
      <w:r>
        <w:t>, test</w:t>
      </w:r>
      <w:r w:rsidR="00F82829">
        <w:t>s</w:t>
      </w:r>
      <w:r>
        <w:t xml:space="preserve"> will be done on only Cdc14p and Cdc14p in the presence of Cdc5; the kinase that activates it. Resulting specificity will be observed. </w:t>
      </w:r>
    </w:p>
    <w:p w:rsidR="00CE35C7" w:rsidRDefault="00CE35C7" w:rsidP="00DC1337">
      <w:pPr>
        <w:spacing w:line="480" w:lineRule="auto"/>
        <w:ind w:firstLine="288"/>
        <w:jc w:val="both"/>
      </w:pPr>
      <w:r>
        <w:t xml:space="preserve">Any gained knowledge of Cdc14p could be applied to other homologous, including the previously mentioned hCdc14A and hCdc14B. Investigating the specificity of Cdc14p and what affects it could have implications in human cancer research. Cancer cells </w:t>
      </w:r>
      <w:r w:rsidR="00021DB7">
        <w:t xml:space="preserve">stem from normal cells </w:t>
      </w:r>
      <w:r w:rsidR="00021DB7">
        <w:lastRenderedPageBreak/>
        <w:t>that begi</w:t>
      </w:r>
      <w:r>
        <w:t xml:space="preserve">n to divide incorrectly. </w:t>
      </w:r>
      <w:r w:rsidR="00021DB7">
        <w:t>I</w:t>
      </w:r>
      <w:r>
        <w:t xml:space="preserve">t has been observed that </w:t>
      </w:r>
      <w:r w:rsidR="00021DB7">
        <w:t xml:space="preserve">either Cdc14p levels or the gene are changed in cancer cells, along with many other cell components. Perhaps, a change to this cell division cycle protein is what causes the normal cells to begin to divide incorrectly. Our research is attempting to discover this change. </w:t>
      </w:r>
    </w:p>
    <w:p w:rsidR="003F4F8D" w:rsidRDefault="003F4F8D" w:rsidP="00DC1337">
      <w:pPr>
        <w:spacing w:line="480" w:lineRule="auto"/>
        <w:jc w:val="both"/>
      </w:pPr>
    </w:p>
    <w:p w:rsidR="003F4F8D" w:rsidRDefault="003F4F8D" w:rsidP="007C689F">
      <w:pPr>
        <w:spacing w:line="480" w:lineRule="auto"/>
        <w:jc w:val="center"/>
        <w:rPr>
          <w:sz w:val="20"/>
          <w:szCs w:val="20"/>
        </w:rPr>
      </w:pPr>
      <w:r>
        <w:rPr>
          <w:sz w:val="20"/>
          <w:szCs w:val="20"/>
        </w:rPr>
        <w:t>REFERENCES</w:t>
      </w:r>
    </w:p>
    <w:p w:rsidR="003F4F8D" w:rsidRPr="003F4F8D" w:rsidRDefault="003F4F8D" w:rsidP="00DC1337">
      <w:pPr>
        <w:spacing w:line="480" w:lineRule="auto"/>
        <w:jc w:val="both"/>
        <w:rPr>
          <w:sz w:val="20"/>
          <w:szCs w:val="20"/>
        </w:rPr>
      </w:pPr>
      <w:r>
        <w:rPr>
          <w:sz w:val="20"/>
          <w:szCs w:val="20"/>
        </w:rPr>
        <w:t xml:space="preserve">1. Taylor, G. S., Liu, Y., Baskerville, C. and Charbonneau ( 1997) </w:t>
      </w:r>
      <w:r>
        <w:rPr>
          <w:i/>
          <w:sz w:val="20"/>
          <w:szCs w:val="20"/>
        </w:rPr>
        <w:t xml:space="preserve">The Activity of Cdc14p, an Oligomeric Dual Specificity protein Phosphatase from Saccharomyces cervisiae, </w:t>
      </w:r>
      <w:r w:rsidR="000E1647">
        <w:rPr>
          <w:i/>
          <w:sz w:val="20"/>
          <w:szCs w:val="20"/>
        </w:rPr>
        <w:t>is</w:t>
      </w:r>
      <w:r>
        <w:rPr>
          <w:i/>
          <w:sz w:val="20"/>
          <w:szCs w:val="20"/>
        </w:rPr>
        <w:t xml:space="preserve"> Required for Cell Cycle Progression. </w:t>
      </w:r>
      <w:r>
        <w:rPr>
          <w:sz w:val="20"/>
          <w:szCs w:val="20"/>
        </w:rPr>
        <w:t>The Journal of Biological Chemistry, Vol 272, No. 38, 24054-24063</w:t>
      </w:r>
    </w:p>
    <w:p w:rsidR="003F4F8D" w:rsidRDefault="003F4F8D" w:rsidP="00DC1337">
      <w:pPr>
        <w:spacing w:line="480" w:lineRule="auto"/>
        <w:jc w:val="both"/>
        <w:rPr>
          <w:sz w:val="20"/>
          <w:szCs w:val="20"/>
        </w:rPr>
      </w:pPr>
      <w:r>
        <w:rPr>
          <w:sz w:val="20"/>
          <w:szCs w:val="20"/>
        </w:rPr>
        <w:t xml:space="preserve">2.  Li, L., Ernsting, B R., Wishart, M. J., Lohse, D. L. and  Dixon, J. E. (1997) </w:t>
      </w:r>
      <w:r>
        <w:rPr>
          <w:i/>
          <w:sz w:val="20"/>
          <w:szCs w:val="20"/>
        </w:rPr>
        <w:t>A family of Putative Tumor Suppressors Is Structurally and Functionally Conserved in Humans and Yeast</w:t>
      </w:r>
      <w:r>
        <w:rPr>
          <w:sz w:val="20"/>
          <w:szCs w:val="20"/>
        </w:rPr>
        <w:t>. The Journal of Biological Chemistry, Vol 272, No. 47, 29403-29406</w:t>
      </w:r>
    </w:p>
    <w:p w:rsidR="003F4F8D" w:rsidRDefault="003F4F8D" w:rsidP="00DC1337">
      <w:pPr>
        <w:spacing w:line="480" w:lineRule="auto"/>
        <w:jc w:val="both"/>
        <w:rPr>
          <w:sz w:val="20"/>
          <w:szCs w:val="20"/>
        </w:rPr>
      </w:pPr>
      <w:r>
        <w:rPr>
          <w:sz w:val="20"/>
          <w:szCs w:val="20"/>
        </w:rPr>
        <w:t>3. Visintin, R., Craig, K., Hwang, E</w:t>
      </w:r>
      <w:r w:rsidR="00CE5D08">
        <w:rPr>
          <w:sz w:val="20"/>
          <w:szCs w:val="20"/>
        </w:rPr>
        <w:t>. S., Prinz, S., Tyers, M. and</w:t>
      </w:r>
      <w:r>
        <w:rPr>
          <w:sz w:val="20"/>
          <w:szCs w:val="20"/>
        </w:rPr>
        <w:t xml:space="preserve"> </w:t>
      </w:r>
      <w:r w:rsidR="00D468F7">
        <w:rPr>
          <w:sz w:val="20"/>
          <w:szCs w:val="20"/>
        </w:rPr>
        <w:t>Amon, A.</w:t>
      </w:r>
      <w:r w:rsidR="00CE5D08">
        <w:rPr>
          <w:sz w:val="20"/>
          <w:szCs w:val="20"/>
        </w:rPr>
        <w:t xml:space="preserve"> (1998)</w:t>
      </w:r>
      <w:r w:rsidR="00D468F7">
        <w:rPr>
          <w:sz w:val="20"/>
          <w:szCs w:val="20"/>
        </w:rPr>
        <w:t xml:space="preserve"> </w:t>
      </w:r>
      <w:r w:rsidR="00D468F7">
        <w:rPr>
          <w:i/>
          <w:sz w:val="20"/>
          <w:szCs w:val="20"/>
        </w:rPr>
        <w:t xml:space="preserve">The Phosphatase Cdc14 Triggers Mitotic Exit by Reversal of CDK-Dependent Phosphorylation. </w:t>
      </w:r>
      <w:r w:rsidR="00D468F7">
        <w:rPr>
          <w:sz w:val="20"/>
          <w:szCs w:val="20"/>
        </w:rPr>
        <w:t>Molecular Cell, Vol. 2, 709-718</w:t>
      </w:r>
      <w:r w:rsidR="008E7102">
        <w:rPr>
          <w:sz w:val="20"/>
          <w:szCs w:val="20"/>
        </w:rPr>
        <w:t xml:space="preserve"> </w:t>
      </w:r>
    </w:p>
    <w:p w:rsidR="008E7102" w:rsidRPr="00CE5D08" w:rsidRDefault="008E7102" w:rsidP="00DC1337">
      <w:pPr>
        <w:spacing w:line="480" w:lineRule="auto"/>
        <w:jc w:val="both"/>
        <w:rPr>
          <w:sz w:val="20"/>
          <w:szCs w:val="20"/>
        </w:rPr>
      </w:pPr>
      <w:r>
        <w:rPr>
          <w:sz w:val="20"/>
          <w:szCs w:val="20"/>
        </w:rPr>
        <w:t>4. Paulsen, M. T., Starks, A. M., Derheimer, F. A., Hanasoge, S., Li, L., Dixon, J. E., and Ljungman, M.</w:t>
      </w:r>
      <w:r w:rsidR="00CE5D08">
        <w:rPr>
          <w:sz w:val="20"/>
          <w:szCs w:val="20"/>
        </w:rPr>
        <w:t xml:space="preserve"> (2006) </w:t>
      </w:r>
      <w:r w:rsidR="00CE5D08">
        <w:rPr>
          <w:i/>
          <w:sz w:val="20"/>
          <w:szCs w:val="20"/>
        </w:rPr>
        <w:t>The p53-targeting human phosphatase hCdc14A interacts with the CdkI/cyclin B complex and is differently expressed in human cancers.</w:t>
      </w:r>
      <w:r w:rsidR="00CE5D08">
        <w:rPr>
          <w:sz w:val="20"/>
          <w:szCs w:val="20"/>
        </w:rPr>
        <w:t xml:space="preserve"> Molecular Cancer, Vol. 5, No. 25</w:t>
      </w:r>
    </w:p>
    <w:p w:rsidR="00687E4D" w:rsidRPr="005871AF" w:rsidRDefault="00687E4D" w:rsidP="00DC1337">
      <w:pPr>
        <w:spacing w:line="480" w:lineRule="auto"/>
        <w:jc w:val="both"/>
      </w:pPr>
      <w:r>
        <w:tab/>
      </w:r>
    </w:p>
    <w:sectPr w:rsidR="00687E4D" w:rsidRPr="005871AF" w:rsidSect="00DC133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DD" w:rsidRDefault="00FB4DDD" w:rsidP="00F82829">
      <w:r>
        <w:separator/>
      </w:r>
    </w:p>
  </w:endnote>
  <w:endnote w:type="continuationSeparator" w:id="0">
    <w:p w:rsidR="00FB4DDD" w:rsidRDefault="00FB4DDD" w:rsidP="00F8282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DD" w:rsidRDefault="00FB4DDD" w:rsidP="00F82829">
      <w:r>
        <w:separator/>
      </w:r>
    </w:p>
  </w:footnote>
  <w:footnote w:type="continuationSeparator" w:id="0">
    <w:p w:rsidR="00FB4DDD" w:rsidRDefault="00FB4DDD" w:rsidP="00F82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5485"/>
      <w:docPartObj>
        <w:docPartGallery w:val="Page Numbers (Top of Page)"/>
        <w:docPartUnique/>
      </w:docPartObj>
    </w:sdtPr>
    <w:sdtContent>
      <w:p w:rsidR="00F82829" w:rsidRDefault="003822EA">
        <w:pPr>
          <w:pStyle w:val="Header"/>
          <w:jc w:val="right"/>
        </w:pPr>
        <w:fldSimple w:instr=" PAGE   \* MERGEFORMAT ">
          <w:r w:rsidR="00A47B92">
            <w:rPr>
              <w:noProof/>
            </w:rPr>
            <w:t>7</w:t>
          </w:r>
        </w:fldSimple>
      </w:p>
    </w:sdtContent>
  </w:sdt>
  <w:p w:rsidR="00F82829" w:rsidRDefault="00F82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77C"/>
    <w:multiLevelType w:val="hybridMultilevel"/>
    <w:tmpl w:val="672C8EC2"/>
    <w:lvl w:ilvl="0" w:tplc="40EADE42">
      <w:start w:val="1"/>
      <w:numFmt w:val="bullet"/>
      <w:lvlText w:val=""/>
      <w:lvlJc w:val="left"/>
      <w:pPr>
        <w:tabs>
          <w:tab w:val="num" w:pos="720"/>
        </w:tabs>
        <w:ind w:left="720" w:hanging="360"/>
      </w:pPr>
      <w:rPr>
        <w:rFonts w:ascii="Wingdings 2" w:hAnsi="Wingdings 2" w:hint="default"/>
      </w:rPr>
    </w:lvl>
    <w:lvl w:ilvl="1" w:tplc="1A2A3538" w:tentative="1">
      <w:start w:val="1"/>
      <w:numFmt w:val="bullet"/>
      <w:lvlText w:val=""/>
      <w:lvlJc w:val="left"/>
      <w:pPr>
        <w:tabs>
          <w:tab w:val="num" w:pos="1440"/>
        </w:tabs>
        <w:ind w:left="1440" w:hanging="360"/>
      </w:pPr>
      <w:rPr>
        <w:rFonts w:ascii="Wingdings 2" w:hAnsi="Wingdings 2" w:hint="default"/>
      </w:rPr>
    </w:lvl>
    <w:lvl w:ilvl="2" w:tplc="2C52D456">
      <w:start w:val="1"/>
      <w:numFmt w:val="bullet"/>
      <w:lvlText w:val=""/>
      <w:lvlJc w:val="left"/>
      <w:pPr>
        <w:tabs>
          <w:tab w:val="num" w:pos="2160"/>
        </w:tabs>
        <w:ind w:left="2160" w:hanging="360"/>
      </w:pPr>
      <w:rPr>
        <w:rFonts w:ascii="Wingdings 2" w:hAnsi="Wingdings 2" w:hint="default"/>
      </w:rPr>
    </w:lvl>
    <w:lvl w:ilvl="3" w:tplc="7CD43E7E" w:tentative="1">
      <w:start w:val="1"/>
      <w:numFmt w:val="bullet"/>
      <w:lvlText w:val=""/>
      <w:lvlJc w:val="left"/>
      <w:pPr>
        <w:tabs>
          <w:tab w:val="num" w:pos="2880"/>
        </w:tabs>
        <w:ind w:left="2880" w:hanging="360"/>
      </w:pPr>
      <w:rPr>
        <w:rFonts w:ascii="Wingdings 2" w:hAnsi="Wingdings 2" w:hint="default"/>
      </w:rPr>
    </w:lvl>
    <w:lvl w:ilvl="4" w:tplc="F45AE1DA" w:tentative="1">
      <w:start w:val="1"/>
      <w:numFmt w:val="bullet"/>
      <w:lvlText w:val=""/>
      <w:lvlJc w:val="left"/>
      <w:pPr>
        <w:tabs>
          <w:tab w:val="num" w:pos="3600"/>
        </w:tabs>
        <w:ind w:left="3600" w:hanging="360"/>
      </w:pPr>
      <w:rPr>
        <w:rFonts w:ascii="Wingdings 2" w:hAnsi="Wingdings 2" w:hint="default"/>
      </w:rPr>
    </w:lvl>
    <w:lvl w:ilvl="5" w:tplc="F0300CF0" w:tentative="1">
      <w:start w:val="1"/>
      <w:numFmt w:val="bullet"/>
      <w:lvlText w:val=""/>
      <w:lvlJc w:val="left"/>
      <w:pPr>
        <w:tabs>
          <w:tab w:val="num" w:pos="4320"/>
        </w:tabs>
        <w:ind w:left="4320" w:hanging="360"/>
      </w:pPr>
      <w:rPr>
        <w:rFonts w:ascii="Wingdings 2" w:hAnsi="Wingdings 2" w:hint="default"/>
      </w:rPr>
    </w:lvl>
    <w:lvl w:ilvl="6" w:tplc="A350C9C0" w:tentative="1">
      <w:start w:val="1"/>
      <w:numFmt w:val="bullet"/>
      <w:lvlText w:val=""/>
      <w:lvlJc w:val="left"/>
      <w:pPr>
        <w:tabs>
          <w:tab w:val="num" w:pos="5040"/>
        </w:tabs>
        <w:ind w:left="5040" w:hanging="360"/>
      </w:pPr>
      <w:rPr>
        <w:rFonts w:ascii="Wingdings 2" w:hAnsi="Wingdings 2" w:hint="default"/>
      </w:rPr>
    </w:lvl>
    <w:lvl w:ilvl="7" w:tplc="6DF484A0" w:tentative="1">
      <w:start w:val="1"/>
      <w:numFmt w:val="bullet"/>
      <w:lvlText w:val=""/>
      <w:lvlJc w:val="left"/>
      <w:pPr>
        <w:tabs>
          <w:tab w:val="num" w:pos="5760"/>
        </w:tabs>
        <w:ind w:left="5760" w:hanging="360"/>
      </w:pPr>
      <w:rPr>
        <w:rFonts w:ascii="Wingdings 2" w:hAnsi="Wingdings 2" w:hint="default"/>
      </w:rPr>
    </w:lvl>
    <w:lvl w:ilvl="8" w:tplc="84C6074A" w:tentative="1">
      <w:start w:val="1"/>
      <w:numFmt w:val="bullet"/>
      <w:lvlText w:val=""/>
      <w:lvlJc w:val="left"/>
      <w:pPr>
        <w:tabs>
          <w:tab w:val="num" w:pos="6480"/>
        </w:tabs>
        <w:ind w:left="6480" w:hanging="360"/>
      </w:pPr>
      <w:rPr>
        <w:rFonts w:ascii="Wingdings 2" w:hAnsi="Wingdings 2" w:hint="default"/>
      </w:rPr>
    </w:lvl>
  </w:abstractNum>
  <w:abstractNum w:abstractNumId="1">
    <w:nsid w:val="29DF0CD3"/>
    <w:multiLevelType w:val="hybridMultilevel"/>
    <w:tmpl w:val="EEF4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97990"/>
    <w:multiLevelType w:val="hybridMultilevel"/>
    <w:tmpl w:val="9DB8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5193B"/>
    <w:multiLevelType w:val="hybridMultilevel"/>
    <w:tmpl w:val="E7847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3405"/>
    <w:rsid w:val="0000406F"/>
    <w:rsid w:val="00021DB7"/>
    <w:rsid w:val="00044C71"/>
    <w:rsid w:val="0005433B"/>
    <w:rsid w:val="000A79A6"/>
    <w:rsid w:val="000B1744"/>
    <w:rsid w:val="000E1647"/>
    <w:rsid w:val="001754B0"/>
    <w:rsid w:val="001C4ABA"/>
    <w:rsid w:val="001E4D9A"/>
    <w:rsid w:val="002560D1"/>
    <w:rsid w:val="00282719"/>
    <w:rsid w:val="00302336"/>
    <w:rsid w:val="00341E4B"/>
    <w:rsid w:val="003428A4"/>
    <w:rsid w:val="00343180"/>
    <w:rsid w:val="00371EA7"/>
    <w:rsid w:val="003822EA"/>
    <w:rsid w:val="003B320F"/>
    <w:rsid w:val="003C5BB3"/>
    <w:rsid w:val="003F4F8D"/>
    <w:rsid w:val="00477202"/>
    <w:rsid w:val="004924FA"/>
    <w:rsid w:val="004B1356"/>
    <w:rsid w:val="004F6D89"/>
    <w:rsid w:val="00514BF5"/>
    <w:rsid w:val="00520CA2"/>
    <w:rsid w:val="005652D1"/>
    <w:rsid w:val="005871AF"/>
    <w:rsid w:val="005E5515"/>
    <w:rsid w:val="005E559E"/>
    <w:rsid w:val="0065172C"/>
    <w:rsid w:val="00687E4D"/>
    <w:rsid w:val="00692EDD"/>
    <w:rsid w:val="006C4DCD"/>
    <w:rsid w:val="00704C0B"/>
    <w:rsid w:val="007506AA"/>
    <w:rsid w:val="0076734E"/>
    <w:rsid w:val="007C689F"/>
    <w:rsid w:val="008A479A"/>
    <w:rsid w:val="008B4D68"/>
    <w:rsid w:val="008C1FDB"/>
    <w:rsid w:val="008E7102"/>
    <w:rsid w:val="00947201"/>
    <w:rsid w:val="00953567"/>
    <w:rsid w:val="00983405"/>
    <w:rsid w:val="009A0384"/>
    <w:rsid w:val="009C5F90"/>
    <w:rsid w:val="00A430B3"/>
    <w:rsid w:val="00A45FED"/>
    <w:rsid w:val="00A47B92"/>
    <w:rsid w:val="00A75436"/>
    <w:rsid w:val="00A95CA3"/>
    <w:rsid w:val="00A97252"/>
    <w:rsid w:val="00AA455A"/>
    <w:rsid w:val="00AC3C40"/>
    <w:rsid w:val="00B06143"/>
    <w:rsid w:val="00B862C2"/>
    <w:rsid w:val="00C33577"/>
    <w:rsid w:val="00C51101"/>
    <w:rsid w:val="00C809BB"/>
    <w:rsid w:val="00C86847"/>
    <w:rsid w:val="00C91A9D"/>
    <w:rsid w:val="00CE35C7"/>
    <w:rsid w:val="00CE5D08"/>
    <w:rsid w:val="00D01B3D"/>
    <w:rsid w:val="00D468F7"/>
    <w:rsid w:val="00D660FE"/>
    <w:rsid w:val="00D80867"/>
    <w:rsid w:val="00DC1337"/>
    <w:rsid w:val="00DE4E0F"/>
    <w:rsid w:val="00F82829"/>
    <w:rsid w:val="00FA28DC"/>
    <w:rsid w:val="00FA6B9F"/>
    <w:rsid w:val="00FB34FF"/>
    <w:rsid w:val="00FB4DDD"/>
    <w:rsid w:val="00FC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30"/>
        <o:r id="V:Rule6" type="connector" idref="#_x0000_s1034"/>
        <o:r id="V:Rule7" type="connector" idref="#_x0000_s104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A6"/>
    <w:rPr>
      <w:rFonts w:ascii="Tahoma" w:hAnsi="Tahoma" w:cs="Tahoma"/>
      <w:sz w:val="16"/>
      <w:szCs w:val="16"/>
    </w:rPr>
  </w:style>
  <w:style w:type="character" w:customStyle="1" w:styleId="BalloonTextChar">
    <w:name w:val="Balloon Text Char"/>
    <w:basedOn w:val="DefaultParagraphFont"/>
    <w:link w:val="BalloonText"/>
    <w:uiPriority w:val="99"/>
    <w:semiHidden/>
    <w:rsid w:val="000A79A6"/>
    <w:rPr>
      <w:rFonts w:ascii="Tahoma" w:hAnsi="Tahoma" w:cs="Tahoma"/>
      <w:sz w:val="16"/>
      <w:szCs w:val="16"/>
    </w:rPr>
  </w:style>
  <w:style w:type="paragraph" w:styleId="ListParagraph">
    <w:name w:val="List Paragraph"/>
    <w:basedOn w:val="Normal"/>
    <w:uiPriority w:val="34"/>
    <w:qFormat/>
    <w:rsid w:val="003C5BB3"/>
    <w:pPr>
      <w:ind w:left="720"/>
      <w:contextualSpacing/>
    </w:pPr>
    <w:rPr>
      <w:rFonts w:eastAsia="Times New Roman" w:cs="Times New Roman"/>
    </w:rPr>
  </w:style>
  <w:style w:type="paragraph" w:styleId="Header">
    <w:name w:val="header"/>
    <w:basedOn w:val="Normal"/>
    <w:link w:val="HeaderChar"/>
    <w:uiPriority w:val="99"/>
    <w:unhideWhenUsed/>
    <w:rsid w:val="00F82829"/>
    <w:pPr>
      <w:tabs>
        <w:tab w:val="center" w:pos="4680"/>
        <w:tab w:val="right" w:pos="9360"/>
      </w:tabs>
    </w:pPr>
  </w:style>
  <w:style w:type="character" w:customStyle="1" w:styleId="HeaderChar">
    <w:name w:val="Header Char"/>
    <w:basedOn w:val="DefaultParagraphFont"/>
    <w:link w:val="Header"/>
    <w:uiPriority w:val="99"/>
    <w:rsid w:val="00F82829"/>
  </w:style>
  <w:style w:type="paragraph" w:styleId="Footer">
    <w:name w:val="footer"/>
    <w:basedOn w:val="Normal"/>
    <w:link w:val="FooterChar"/>
    <w:uiPriority w:val="99"/>
    <w:semiHidden/>
    <w:unhideWhenUsed/>
    <w:rsid w:val="00F82829"/>
    <w:pPr>
      <w:tabs>
        <w:tab w:val="center" w:pos="4680"/>
        <w:tab w:val="right" w:pos="9360"/>
      </w:tabs>
    </w:pPr>
  </w:style>
  <w:style w:type="character" w:customStyle="1" w:styleId="FooterChar">
    <w:name w:val="Footer Char"/>
    <w:basedOn w:val="DefaultParagraphFont"/>
    <w:link w:val="Footer"/>
    <w:uiPriority w:val="99"/>
    <w:semiHidden/>
    <w:rsid w:val="00F82829"/>
  </w:style>
</w:styles>
</file>

<file path=word/webSettings.xml><?xml version="1.0" encoding="utf-8"?>
<w:webSettings xmlns:r="http://schemas.openxmlformats.org/officeDocument/2006/relationships" xmlns:w="http://schemas.openxmlformats.org/wordprocessingml/2006/main">
  <w:divs>
    <w:div w:id="2064717975">
      <w:bodyDiv w:val="1"/>
      <w:marLeft w:val="0"/>
      <w:marRight w:val="0"/>
      <w:marTop w:val="0"/>
      <w:marBottom w:val="0"/>
      <w:divBdr>
        <w:top w:val="none" w:sz="0" w:space="0" w:color="auto"/>
        <w:left w:val="none" w:sz="0" w:space="0" w:color="auto"/>
        <w:bottom w:val="none" w:sz="0" w:space="0" w:color="auto"/>
        <w:right w:val="none" w:sz="0" w:space="0" w:color="auto"/>
      </w:divBdr>
      <w:divsChild>
        <w:div w:id="2072120768">
          <w:marLeft w:val="1454"/>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DD56-C6DB-4A86-AA2A-EE46F2D5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Kim Simons</cp:lastModifiedBy>
  <cp:revision>2</cp:revision>
  <cp:lastPrinted>2010-05-10T20:15:00Z</cp:lastPrinted>
  <dcterms:created xsi:type="dcterms:W3CDTF">2010-06-03T14:51:00Z</dcterms:created>
  <dcterms:modified xsi:type="dcterms:W3CDTF">2010-06-03T14:51:00Z</dcterms:modified>
</cp:coreProperties>
</file>